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方正小标宋简体"/>
          <w:sz w:val="32"/>
          <w:szCs w:val="32"/>
        </w:rPr>
      </w:pPr>
      <w:bookmarkStart w:id="0" w:name="OLE_LINK1"/>
      <w:r>
        <w:rPr>
          <w:rFonts w:hint="eastAsia" w:ascii="黑体" w:hAnsi="黑体" w:eastAsia="黑体" w:cs="方正小标宋简体"/>
          <w:sz w:val="32"/>
          <w:szCs w:val="32"/>
        </w:rPr>
        <w:t>附件6</w:t>
      </w:r>
    </w:p>
    <w:p>
      <w:pPr>
        <w:spacing w:line="560" w:lineRule="exact"/>
        <w:ind w:firstLine="880" w:firstLineChars="200"/>
        <w:jc w:val="center"/>
        <w:rPr>
          <w:rFonts w:ascii="方正小标宋简体" w:hAnsi="方正小标宋简体" w:eastAsia="方正小标宋简体" w:cs="方正小标宋简体"/>
          <w:sz w:val="44"/>
          <w:szCs w:val="44"/>
        </w:rPr>
      </w:pPr>
    </w:p>
    <w:p>
      <w:pPr>
        <w:spacing w:line="560" w:lineRule="exact"/>
        <w:ind w:firstLine="880" w:firstLine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凯里学院</w:t>
      </w:r>
      <w:r>
        <w:rPr>
          <w:rFonts w:hint="eastAsia" w:ascii="方正小标宋简体" w:hAnsi="方正小标宋简体" w:eastAsia="方正小标宋简体" w:cs="方正小标宋简体"/>
          <w:sz w:val="44"/>
          <w:szCs w:val="44"/>
        </w:rPr>
        <w:t>部门整体支出绩效</w:t>
      </w:r>
      <w:r>
        <w:rPr>
          <w:rFonts w:hint="eastAsia" w:ascii="方正小标宋简体" w:hAnsi="方正小标宋简体" w:eastAsia="方正小标宋简体" w:cs="方正小标宋简体"/>
          <w:sz w:val="44"/>
          <w:szCs w:val="44"/>
          <w:lang w:eastAsia="zh-CN"/>
        </w:rPr>
        <w:t>自评</w:t>
      </w:r>
      <w:r>
        <w:rPr>
          <w:rFonts w:hint="eastAsia" w:ascii="方正小标宋简体" w:hAnsi="方正小标宋简体" w:eastAsia="方正小标宋简体" w:cs="方正小标宋简体"/>
          <w:sz w:val="44"/>
          <w:szCs w:val="44"/>
        </w:rPr>
        <w:t>报告</w:t>
      </w:r>
    </w:p>
    <w:p>
      <w:pPr>
        <w:spacing w:line="560" w:lineRule="exact"/>
        <w:ind w:firstLine="880" w:firstLineChars="200"/>
        <w:jc w:val="center"/>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为加强财政支出管理，提高财政资金使用效益，根据州财政局下发</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kern w:val="0"/>
          <w:sz w:val="32"/>
          <w:szCs w:val="32"/>
          <w:lang w:val="en-US" w:eastAsia="zh-CN" w:bidi="ar"/>
        </w:rPr>
        <w:t>州财政局关于开展2022年度绩效自评工作的通知</w:t>
      </w:r>
      <w:r>
        <w:rPr>
          <w:rFonts w:hint="eastAsia" w:ascii="仿宋_GB2312" w:hAnsi="仿宋_GB2312" w:eastAsia="仿宋_GB2312" w:cs="仿宋_GB2312"/>
          <w:color w:val="auto"/>
          <w:sz w:val="32"/>
          <w:szCs w:val="32"/>
          <w:lang w:val="en-US" w:eastAsia="zh-CN"/>
        </w:rPr>
        <w:t>》（黔东南财绩〔2023〕</w:t>
      </w:r>
      <w:r>
        <w:rPr>
          <w:rFonts w:hint="eastAsia" w:hAnsi="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号）</w:t>
      </w:r>
      <w:r>
        <w:rPr>
          <w:rFonts w:hint="eastAsia" w:ascii="仿宋_GB2312" w:hAnsi="仿宋_GB2312" w:eastAsia="仿宋_GB2312" w:cs="仿宋_GB2312"/>
          <w:sz w:val="32"/>
          <w:szCs w:val="32"/>
        </w:rPr>
        <w:t>文件精神，我校认真梳理202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年资金</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rPr>
        <w:t>情况，对</w:t>
      </w:r>
      <w:r>
        <w:rPr>
          <w:rFonts w:hint="eastAsia" w:ascii="仿宋_GB2312" w:hAnsi="仿宋_GB2312" w:eastAsia="仿宋_GB2312" w:cs="仿宋_GB2312"/>
          <w:sz w:val="32"/>
          <w:szCs w:val="32"/>
          <w:lang w:val="en-US" w:eastAsia="zh-CN"/>
        </w:rPr>
        <w:t>2022年预算</w:t>
      </w:r>
      <w:r>
        <w:rPr>
          <w:rFonts w:hint="eastAsia" w:ascii="仿宋_GB2312" w:hAnsi="仿宋_GB2312" w:eastAsia="仿宋_GB2312" w:cs="仿宋_GB2312"/>
          <w:sz w:val="32"/>
          <w:szCs w:val="32"/>
        </w:rPr>
        <w:t>资金进行绩效自评，评价内容主要围绕部门职责，以预算资金管理为主线，从资金投入、过程实施、运行成本、管理效率、履职效能、社会效益、可持续发展和服务对象满意度等方面进行了综合评价。现将绩效自评情况报告如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一、部门概况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（一）部门基本情况。</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rPr>
        <w:t>凯里学院是经国家教育部批准设立的全日制公办本科普通高校，是贵州省普通本科高校向应用型转型发展试点单位和贵州省“十三五”硕士学位授予立项建设单位，实行“省州共建，以州为主”的管理体制。学校始终坚持“三性一型”（地方性、民族性、师范性，应用型）的办学定位，设置本科专业58个，涵盖教育学、工学、理学、文学、管理学、艺术学、农学等学科门类。学校注重科教融合与创新发展。现有各级各类教学、科研平台17个，其中，省高校特色重点实验室4个，省级院士工作站1个，省高校协同创新中心1个，省高校实验教学示范中心3个，省级民族古籍研究基地1个，省级民汉双语服务基地1个，省高校产学研基地4个，另有黔东南侗学重点研究基地和州级智库“黔东南发展研究院”。在新的发展征程中，凯里学院将继续以习近平新时代中国特色社会主义思想为引领，紧紧围绕“十四五”时期贵州省发展“一二三四”的总体思路及其他战略部署，秉承“立德树人、自强奋进”的校训，发扬“艰苦创业、勤俭办学、勇于争先”的办学精神，不忘初心，牢记使命，坚持走内涵式发展道路，以奋发有为的精神状态，勇于探索的创新精神，求真务实的工作作风，为建设成为特色鲜明、区域一流的高水平应用型大学而努力奋斗</w:t>
      </w:r>
      <w:r>
        <w:rPr>
          <w:rFonts w:hint="eastAsia" w:ascii="仿宋_GB2312" w:hAnsi="仿宋" w:eastAsia="仿宋_GB2312"/>
          <w:color w:val="auto"/>
          <w:sz w:val="32"/>
          <w:szCs w:val="32"/>
          <w:lang w:eastAsia="zh-CN"/>
        </w:rPr>
        <w:t>。</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（二）部门收支情况</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年年初收入支出预算安排数为</w:t>
      </w:r>
      <w:r>
        <w:rPr>
          <w:rFonts w:hint="eastAsia" w:ascii="仿宋_GB2312" w:hAnsi="仿宋_GB2312" w:eastAsia="仿宋_GB2312" w:cs="仿宋_GB2312"/>
          <w:color w:val="auto"/>
          <w:sz w:val="32"/>
          <w:szCs w:val="32"/>
          <w:lang w:val="en-US" w:eastAsia="zh-CN"/>
        </w:rPr>
        <w:t>17234.44</w:t>
      </w:r>
      <w:r>
        <w:rPr>
          <w:rFonts w:hint="eastAsia" w:ascii="仿宋_GB2312" w:hAnsi="仿宋_GB2312" w:eastAsia="仿宋_GB2312" w:cs="仿宋_GB2312"/>
          <w:color w:val="auto"/>
          <w:sz w:val="32"/>
          <w:szCs w:val="32"/>
          <w:lang w:eastAsia="zh-CN"/>
        </w:rPr>
        <w:t>万元（其中基本支出：人员经费</w:t>
      </w:r>
      <w:r>
        <w:rPr>
          <w:rFonts w:hint="eastAsia" w:ascii="仿宋_GB2312" w:hAnsi="仿宋_GB2312" w:eastAsia="仿宋_GB2312" w:cs="仿宋_GB2312"/>
          <w:color w:val="auto"/>
          <w:sz w:val="32"/>
          <w:szCs w:val="32"/>
          <w:lang w:val="en-US" w:eastAsia="zh-CN"/>
        </w:rPr>
        <w:t>16686.32</w:t>
      </w:r>
      <w:r>
        <w:rPr>
          <w:rFonts w:hint="eastAsia" w:ascii="仿宋_GB2312" w:hAnsi="仿宋_GB2312" w:eastAsia="仿宋_GB2312" w:cs="仿宋_GB2312"/>
          <w:color w:val="auto"/>
          <w:sz w:val="32"/>
          <w:szCs w:val="32"/>
          <w:lang w:eastAsia="zh-CN"/>
        </w:rPr>
        <w:t>万元及日常公用经费</w:t>
      </w:r>
      <w:r>
        <w:rPr>
          <w:rFonts w:hint="eastAsia" w:ascii="仿宋_GB2312" w:hAnsi="仿宋_GB2312" w:eastAsia="仿宋_GB2312" w:cs="仿宋_GB2312"/>
          <w:color w:val="auto"/>
          <w:sz w:val="32"/>
          <w:szCs w:val="32"/>
          <w:lang w:val="en-US" w:eastAsia="zh-CN"/>
        </w:rPr>
        <w:t>107.12</w:t>
      </w:r>
      <w:r>
        <w:rPr>
          <w:rFonts w:hint="eastAsia" w:ascii="仿宋_GB2312" w:hAnsi="仿宋_GB2312" w:eastAsia="仿宋_GB2312" w:cs="仿宋_GB2312"/>
          <w:color w:val="auto"/>
          <w:sz w:val="32"/>
          <w:szCs w:val="32"/>
          <w:lang w:eastAsia="zh-CN"/>
        </w:rPr>
        <w:t>万元，项目支出</w:t>
      </w:r>
      <w:r>
        <w:rPr>
          <w:rFonts w:hint="eastAsia" w:ascii="仿宋_GB2312" w:hAnsi="仿宋_GB2312" w:eastAsia="仿宋_GB2312" w:cs="仿宋_GB2312"/>
          <w:color w:val="auto"/>
          <w:sz w:val="32"/>
          <w:szCs w:val="32"/>
          <w:lang w:val="en-US" w:eastAsia="zh-CN"/>
        </w:rPr>
        <w:t>441</w:t>
      </w:r>
      <w:r>
        <w:rPr>
          <w:rFonts w:hint="eastAsia" w:ascii="仿宋_GB2312" w:hAnsi="仿宋_GB2312" w:eastAsia="仿宋_GB2312" w:cs="仿宋_GB2312"/>
          <w:color w:val="auto"/>
          <w:sz w:val="32"/>
          <w:szCs w:val="32"/>
          <w:lang w:eastAsia="zh-CN"/>
        </w:rPr>
        <w:t>万元），与上年预算数相比，增长幅度不大。</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default"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lang w:val="en-US" w:eastAsia="zh-CN"/>
        </w:rPr>
        <w:t>2020-</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年预算收入支出情况</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2020年收入总额为37,449.47万元。其中：财政拨款收入31,402.38万元,占总收入的83.</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lang w:eastAsia="zh-CN"/>
        </w:rPr>
        <w:t>%；事业收入为5,091.56万元，占总收入的13.60%；其他收入为955.53万元,占总收入的2.55%。</w:t>
      </w:r>
      <w:r>
        <w:rPr>
          <w:rFonts w:hint="eastAsia" w:ascii="仿宋_GB2312" w:hAnsi="仿宋_GB2312" w:eastAsia="仿宋_GB2312" w:cs="仿宋_GB2312"/>
          <w:color w:val="auto"/>
          <w:sz w:val="32"/>
          <w:szCs w:val="32"/>
          <w:lang w:val="en-US" w:eastAsia="zh-CN"/>
        </w:rPr>
        <w:t>2020年</w:t>
      </w:r>
      <w:r>
        <w:rPr>
          <w:rFonts w:hint="eastAsia" w:ascii="仿宋_GB2312" w:hAnsi="仿宋_GB2312" w:eastAsia="仿宋_GB2312" w:cs="仿宋_GB2312"/>
          <w:color w:val="auto"/>
          <w:sz w:val="32"/>
          <w:szCs w:val="32"/>
          <w:lang w:eastAsia="zh-CN"/>
        </w:rPr>
        <w:t>支出合计51724.18万元，其中：基本支出23858.16万元，占46.13%；项目支出27866.02万元，占53.87%；上缴上级支出0万元，占0%；经营支出0万元，占0%；对附属单位补助支出0万元，占0%。</w:t>
      </w:r>
      <w:r>
        <w:rPr>
          <w:rFonts w:hint="eastAsia" w:ascii="仿宋_GB2312" w:hAnsi="仿宋_GB2312" w:eastAsia="仿宋_GB2312" w:cs="仿宋_GB2312"/>
          <w:color w:val="auto"/>
          <w:sz w:val="32"/>
          <w:szCs w:val="32"/>
          <w:lang w:val="en-US" w:eastAsia="zh-CN"/>
        </w:rPr>
        <w:t>2.2021年</w:t>
      </w:r>
      <w:r>
        <w:rPr>
          <w:rFonts w:hint="eastAsia" w:ascii="仿宋_GB2312" w:hAnsi="仿宋_GB2312" w:eastAsia="仿宋_GB2312" w:cs="仿宋_GB2312"/>
          <w:color w:val="auto"/>
          <w:sz w:val="32"/>
          <w:szCs w:val="32"/>
          <w:lang w:eastAsia="zh-CN"/>
        </w:rPr>
        <w:t>收入总额为</w:t>
      </w:r>
      <w:r>
        <w:rPr>
          <w:rFonts w:hint="eastAsia" w:ascii="仿宋_GB2312" w:hAnsi="仿宋_GB2312" w:eastAsia="仿宋_GB2312" w:cs="仿宋_GB2312"/>
          <w:color w:val="auto"/>
          <w:sz w:val="32"/>
          <w:szCs w:val="32"/>
          <w:lang w:val="en-US" w:eastAsia="zh-CN"/>
        </w:rPr>
        <w:t>35670.21</w:t>
      </w:r>
      <w:r>
        <w:rPr>
          <w:rFonts w:hint="eastAsia" w:ascii="仿宋_GB2312" w:hAnsi="仿宋_GB2312" w:eastAsia="仿宋_GB2312" w:cs="仿宋_GB2312"/>
          <w:color w:val="auto"/>
          <w:sz w:val="32"/>
          <w:szCs w:val="32"/>
          <w:lang w:eastAsia="zh-CN"/>
        </w:rPr>
        <w:t>万元。其中：一般公共预算财政拨款收入</w:t>
      </w:r>
      <w:r>
        <w:rPr>
          <w:rFonts w:hint="eastAsia" w:ascii="仿宋_GB2312" w:hAnsi="仿宋_GB2312" w:eastAsia="仿宋_GB2312" w:cs="仿宋_GB2312"/>
          <w:color w:val="auto"/>
          <w:sz w:val="32"/>
          <w:szCs w:val="32"/>
          <w:lang w:val="en-US" w:eastAsia="zh-CN"/>
        </w:rPr>
        <w:t>28793.98</w:t>
      </w:r>
      <w:r>
        <w:rPr>
          <w:rFonts w:hint="eastAsia" w:ascii="仿宋_GB2312" w:hAnsi="仿宋_GB2312" w:eastAsia="仿宋_GB2312" w:cs="仿宋_GB2312"/>
          <w:color w:val="auto"/>
          <w:sz w:val="32"/>
          <w:szCs w:val="32"/>
          <w:lang w:eastAsia="zh-CN"/>
        </w:rPr>
        <w:t>万元,占总收入的</w:t>
      </w:r>
      <w:r>
        <w:rPr>
          <w:rFonts w:hint="eastAsia" w:ascii="仿宋_GB2312" w:hAnsi="仿宋_GB2312" w:eastAsia="仿宋_GB2312" w:cs="仿宋_GB2312"/>
          <w:color w:val="auto"/>
          <w:sz w:val="32"/>
          <w:szCs w:val="32"/>
          <w:lang w:val="en-US" w:eastAsia="zh-CN"/>
        </w:rPr>
        <w:t>80.72</w:t>
      </w:r>
      <w:r>
        <w:rPr>
          <w:rFonts w:hint="eastAsia" w:ascii="仿宋_GB2312" w:hAnsi="仿宋_GB2312" w:eastAsia="仿宋_GB2312" w:cs="仿宋_GB2312"/>
          <w:color w:val="auto"/>
          <w:sz w:val="32"/>
          <w:szCs w:val="32"/>
          <w:lang w:eastAsia="zh-CN"/>
        </w:rPr>
        <w:t>%；政府性基金预算财政拨款入为</w:t>
      </w:r>
      <w:r>
        <w:rPr>
          <w:rFonts w:hint="eastAsia" w:ascii="仿宋_GB2312" w:hAnsi="仿宋_GB2312" w:eastAsia="仿宋_GB2312" w:cs="仿宋_GB2312"/>
          <w:color w:val="auto"/>
          <w:sz w:val="32"/>
          <w:szCs w:val="32"/>
          <w:lang w:val="en-US" w:eastAsia="zh-CN"/>
        </w:rPr>
        <w:t>122万元，占总收的0.34%；</w:t>
      </w:r>
      <w:r>
        <w:rPr>
          <w:rFonts w:hint="eastAsia" w:ascii="仿宋_GB2312" w:hAnsi="仿宋_GB2312" w:eastAsia="仿宋_GB2312" w:cs="仿宋_GB2312"/>
          <w:color w:val="auto"/>
          <w:sz w:val="32"/>
          <w:szCs w:val="32"/>
          <w:lang w:eastAsia="zh-CN"/>
        </w:rPr>
        <w:t>事业收入为</w:t>
      </w:r>
      <w:r>
        <w:rPr>
          <w:rFonts w:hint="eastAsia" w:ascii="仿宋_GB2312" w:hAnsi="仿宋_GB2312" w:eastAsia="仿宋_GB2312" w:cs="仿宋_GB2312"/>
          <w:color w:val="auto"/>
          <w:sz w:val="32"/>
          <w:szCs w:val="32"/>
          <w:lang w:val="en-US" w:eastAsia="zh-CN"/>
        </w:rPr>
        <w:t>5432.86</w:t>
      </w:r>
      <w:r>
        <w:rPr>
          <w:rFonts w:hint="eastAsia" w:ascii="仿宋_GB2312" w:hAnsi="仿宋_GB2312" w:eastAsia="仿宋_GB2312" w:cs="仿宋_GB2312"/>
          <w:color w:val="auto"/>
          <w:sz w:val="32"/>
          <w:szCs w:val="32"/>
          <w:lang w:eastAsia="zh-CN"/>
        </w:rPr>
        <w:t>万元，占总收入的</w:t>
      </w:r>
      <w:r>
        <w:rPr>
          <w:rFonts w:hint="eastAsia" w:ascii="仿宋_GB2312" w:hAnsi="仿宋_GB2312" w:eastAsia="仿宋_GB2312" w:cs="仿宋_GB2312"/>
          <w:color w:val="auto"/>
          <w:sz w:val="32"/>
          <w:szCs w:val="32"/>
          <w:lang w:val="en-US" w:eastAsia="zh-CN"/>
        </w:rPr>
        <w:t>15.24</w:t>
      </w:r>
      <w:r>
        <w:rPr>
          <w:rFonts w:hint="eastAsia" w:ascii="仿宋_GB2312" w:hAnsi="仿宋_GB2312" w:eastAsia="仿宋_GB2312" w:cs="仿宋_GB2312"/>
          <w:color w:val="auto"/>
          <w:sz w:val="32"/>
          <w:szCs w:val="32"/>
          <w:lang w:eastAsia="zh-CN"/>
        </w:rPr>
        <w:t>%；其他收入为</w:t>
      </w:r>
      <w:r>
        <w:rPr>
          <w:rFonts w:hint="eastAsia" w:ascii="仿宋_GB2312" w:hAnsi="仿宋_GB2312" w:eastAsia="仿宋_GB2312" w:cs="仿宋_GB2312"/>
          <w:color w:val="auto"/>
          <w:sz w:val="32"/>
          <w:szCs w:val="32"/>
          <w:lang w:val="en-US" w:eastAsia="zh-CN"/>
        </w:rPr>
        <w:t>1321.37</w:t>
      </w:r>
      <w:r>
        <w:rPr>
          <w:rFonts w:hint="eastAsia" w:ascii="仿宋_GB2312" w:hAnsi="仿宋_GB2312" w:eastAsia="仿宋_GB2312" w:cs="仿宋_GB2312"/>
          <w:color w:val="auto"/>
          <w:sz w:val="32"/>
          <w:szCs w:val="32"/>
          <w:lang w:eastAsia="zh-CN"/>
        </w:rPr>
        <w:t>万元,占总收入的</w:t>
      </w:r>
      <w:r>
        <w:rPr>
          <w:rFonts w:hint="eastAsia" w:ascii="仿宋_GB2312" w:hAnsi="仿宋_GB2312" w:eastAsia="仿宋_GB2312" w:cs="仿宋_GB2312"/>
          <w:color w:val="auto"/>
          <w:sz w:val="32"/>
          <w:szCs w:val="32"/>
          <w:lang w:val="en-US" w:eastAsia="zh-CN"/>
        </w:rPr>
        <w:t>3.70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2021年</w:t>
      </w:r>
      <w:r>
        <w:rPr>
          <w:rFonts w:hint="eastAsia" w:ascii="仿宋_GB2312" w:hAnsi="仿宋_GB2312" w:eastAsia="仿宋_GB2312" w:cs="仿宋_GB2312"/>
          <w:color w:val="auto"/>
          <w:sz w:val="32"/>
          <w:szCs w:val="32"/>
          <w:lang w:eastAsia="zh-CN"/>
        </w:rPr>
        <w:t>支出合计</w:t>
      </w:r>
      <w:r>
        <w:rPr>
          <w:rFonts w:hint="eastAsia" w:ascii="仿宋_GB2312" w:hAnsi="仿宋_GB2312" w:eastAsia="仿宋_GB2312" w:cs="仿宋_GB2312"/>
          <w:color w:val="auto"/>
          <w:sz w:val="32"/>
          <w:szCs w:val="32"/>
          <w:lang w:val="en-US" w:eastAsia="zh-CN"/>
        </w:rPr>
        <w:t>51014.52</w:t>
      </w:r>
      <w:r>
        <w:rPr>
          <w:rFonts w:hint="eastAsia" w:ascii="仿宋_GB2312" w:hAnsi="仿宋_GB2312" w:eastAsia="仿宋_GB2312" w:cs="仿宋_GB2312"/>
          <w:color w:val="auto"/>
          <w:sz w:val="32"/>
          <w:szCs w:val="32"/>
          <w:lang w:eastAsia="zh-CN"/>
        </w:rPr>
        <w:t>万元，其中：基本支出</w:t>
      </w:r>
      <w:r>
        <w:rPr>
          <w:rFonts w:hint="eastAsia" w:ascii="仿宋_GB2312" w:hAnsi="仿宋_GB2312" w:eastAsia="仿宋_GB2312" w:cs="仿宋_GB2312"/>
          <w:color w:val="auto"/>
          <w:sz w:val="32"/>
          <w:szCs w:val="32"/>
          <w:lang w:val="en-US" w:eastAsia="zh-CN"/>
        </w:rPr>
        <w:t>26555.89</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52.06</w:t>
      </w:r>
      <w:r>
        <w:rPr>
          <w:rFonts w:hint="eastAsia" w:ascii="仿宋_GB2312" w:hAnsi="仿宋_GB2312" w:eastAsia="仿宋_GB2312" w:cs="仿宋_GB2312"/>
          <w:color w:val="auto"/>
          <w:sz w:val="32"/>
          <w:szCs w:val="32"/>
          <w:lang w:eastAsia="zh-CN"/>
        </w:rPr>
        <w:t>%；项目支出</w:t>
      </w:r>
      <w:r>
        <w:rPr>
          <w:rFonts w:hint="eastAsia" w:ascii="仿宋_GB2312" w:hAnsi="仿宋_GB2312" w:eastAsia="仿宋_GB2312" w:cs="仿宋_GB2312"/>
          <w:color w:val="auto"/>
          <w:sz w:val="32"/>
          <w:szCs w:val="32"/>
          <w:lang w:val="en-US" w:eastAsia="zh-CN"/>
        </w:rPr>
        <w:t>24458.63</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47.94%</w:t>
      </w:r>
      <w:r>
        <w:rPr>
          <w:rFonts w:hint="eastAsia" w:ascii="仿宋_GB2312" w:hAnsi="仿宋_GB2312" w:eastAsia="仿宋_GB2312" w:cs="仿宋_GB2312"/>
          <w:color w:val="auto"/>
          <w:sz w:val="32"/>
          <w:szCs w:val="32"/>
          <w:lang w:eastAsia="zh-CN"/>
        </w:rPr>
        <w:t>；上缴上级支出0万元，占0%；经营支出0万元，占0%；对附属单位补助支出0万元，占0%。</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 w:eastAsia="仿宋_GB2312"/>
          <w:color w:val="auto"/>
          <w:sz w:val="32"/>
          <w:szCs w:val="32"/>
          <w:highlight w:val="none"/>
          <w:lang w:eastAsia="zh-CN"/>
        </w:rPr>
        <w:t>202</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t>年收入总额为33</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lang w:eastAsia="zh-CN"/>
        </w:rPr>
        <w:t>059</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lang w:eastAsia="zh-CN"/>
        </w:rPr>
        <w:t>5</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t>万元。其中：财政拨款收入26</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lang w:eastAsia="zh-CN"/>
        </w:rPr>
        <w:t>820</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lang w:eastAsia="zh-CN"/>
        </w:rPr>
        <w:t>9</w:t>
      </w:r>
      <w:r>
        <w:rPr>
          <w:rFonts w:hint="eastAsia" w:ascii="仿宋_GB2312" w:hAnsi="仿宋" w:eastAsia="仿宋_GB2312"/>
          <w:color w:val="auto"/>
          <w:sz w:val="32"/>
          <w:szCs w:val="32"/>
          <w:highlight w:val="none"/>
          <w:lang w:val="en-US" w:eastAsia="zh-CN"/>
        </w:rPr>
        <w:t>7</w:t>
      </w:r>
      <w:r>
        <w:rPr>
          <w:rFonts w:hint="eastAsia" w:ascii="仿宋_GB2312" w:hAnsi="仿宋" w:eastAsia="仿宋_GB2312"/>
          <w:color w:val="auto"/>
          <w:sz w:val="32"/>
          <w:szCs w:val="32"/>
          <w:highlight w:val="none"/>
          <w:lang w:eastAsia="zh-CN"/>
        </w:rPr>
        <w:t>万元,占总收入的8</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13</w:t>
      </w:r>
      <w:r>
        <w:rPr>
          <w:rFonts w:hint="eastAsia" w:ascii="仿宋_GB2312" w:hAnsi="仿宋" w:eastAsia="仿宋_GB2312"/>
          <w:color w:val="auto"/>
          <w:sz w:val="32"/>
          <w:szCs w:val="32"/>
          <w:highlight w:val="none"/>
          <w:lang w:eastAsia="zh-CN"/>
        </w:rPr>
        <w:t>%；事业收入为5145万元，占总收入的</w:t>
      </w:r>
      <w:r>
        <w:rPr>
          <w:rFonts w:hint="eastAsia" w:ascii="仿宋_GB2312" w:hAnsi="仿宋" w:eastAsia="仿宋_GB2312"/>
          <w:color w:val="auto"/>
          <w:sz w:val="32"/>
          <w:szCs w:val="32"/>
          <w:highlight w:val="none"/>
          <w:lang w:val="en-US" w:eastAsia="zh-CN"/>
        </w:rPr>
        <w:t>15.56</w:t>
      </w:r>
      <w:r>
        <w:rPr>
          <w:rFonts w:hint="eastAsia" w:ascii="仿宋_GB2312" w:hAnsi="仿宋" w:eastAsia="仿宋_GB2312"/>
          <w:color w:val="auto"/>
          <w:sz w:val="32"/>
          <w:szCs w:val="32"/>
          <w:highlight w:val="none"/>
          <w:lang w:eastAsia="zh-CN"/>
        </w:rPr>
        <w:t>%；其他收入为1093</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lang w:eastAsia="zh-CN"/>
        </w:rPr>
        <w:t>5</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lang w:eastAsia="zh-CN"/>
        </w:rPr>
        <w:t>万元,占总收入的</w:t>
      </w:r>
      <w:r>
        <w:rPr>
          <w:rFonts w:hint="eastAsia" w:ascii="仿宋_GB2312" w:hAnsi="仿宋" w:eastAsia="仿宋_GB2312"/>
          <w:color w:val="auto"/>
          <w:sz w:val="32"/>
          <w:szCs w:val="32"/>
          <w:highlight w:val="none"/>
          <w:lang w:val="en-US" w:eastAsia="zh-CN"/>
        </w:rPr>
        <w:t>3.31</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2022</w:t>
      </w:r>
      <w:r>
        <w:rPr>
          <w:rFonts w:hint="eastAsia" w:ascii="仿宋_GB2312" w:hAnsi="仿宋" w:eastAsia="仿宋_GB2312"/>
          <w:color w:val="auto"/>
          <w:sz w:val="32"/>
          <w:szCs w:val="32"/>
          <w:lang w:eastAsia="zh-CN"/>
        </w:rPr>
        <w:t>年支出合计41</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lang w:eastAsia="zh-CN"/>
        </w:rPr>
        <w:t>413</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lang w:eastAsia="zh-CN"/>
        </w:rPr>
        <w:t>59万元，其中：基本支出26</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lang w:eastAsia="zh-CN"/>
        </w:rPr>
        <w:t>215</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lang w:eastAsia="zh-CN"/>
        </w:rPr>
        <w:t>1</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lang w:eastAsia="zh-CN"/>
        </w:rPr>
        <w:t>万元，占</w:t>
      </w:r>
      <w:r>
        <w:rPr>
          <w:rFonts w:hint="eastAsia" w:ascii="仿宋_GB2312" w:hAnsi="仿宋" w:eastAsia="仿宋_GB2312"/>
          <w:color w:val="auto"/>
          <w:sz w:val="32"/>
          <w:szCs w:val="32"/>
          <w:lang w:val="en-US" w:eastAsia="zh-CN"/>
        </w:rPr>
        <w:t>63.3</w:t>
      </w:r>
      <w:r>
        <w:rPr>
          <w:rFonts w:hint="eastAsia" w:ascii="仿宋_GB2312" w:hAnsi="仿宋" w:eastAsia="仿宋_GB2312"/>
          <w:color w:val="auto"/>
          <w:sz w:val="32"/>
          <w:szCs w:val="32"/>
          <w:lang w:eastAsia="zh-CN"/>
        </w:rPr>
        <w:t>%；项目支出15,198</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lang w:eastAsia="zh-CN"/>
        </w:rPr>
        <w:t>4</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lang w:eastAsia="zh-CN"/>
        </w:rPr>
        <w:t>万元，占</w:t>
      </w:r>
      <w:r>
        <w:rPr>
          <w:rFonts w:hint="eastAsia" w:ascii="仿宋_GB2312" w:hAnsi="仿宋" w:eastAsia="仿宋_GB2312"/>
          <w:color w:val="auto"/>
          <w:sz w:val="32"/>
          <w:szCs w:val="32"/>
          <w:lang w:val="en-US" w:eastAsia="zh-CN"/>
        </w:rPr>
        <w:t>36.7</w:t>
      </w:r>
      <w:r>
        <w:rPr>
          <w:rFonts w:hint="eastAsia" w:ascii="仿宋_GB2312" w:hAnsi="仿宋" w:eastAsia="仿宋_GB2312"/>
          <w:color w:val="auto"/>
          <w:sz w:val="32"/>
          <w:szCs w:val="32"/>
          <w:lang w:eastAsia="zh-CN"/>
        </w:rPr>
        <w:t>%；上缴上级支出0万元，占0%；经营支出0万元，占0%；对附属单位补助支出0万元，占0%。</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2022年结余结转情况为：2022年度年终结余结转指标（预算内）金额为2757.56万元（只包括2022年度），用于发放学生助学金及学校项目建设经费等。</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（三）部门工作任务</w:t>
      </w:r>
    </w:p>
    <w:p>
      <w:pPr>
        <w:keepNext w:val="0"/>
        <w:keepLines w:val="0"/>
        <w:pageBreakBefore w:val="0"/>
        <w:widowControl/>
        <w:suppressLineNumbers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2022年是党的二十大、</w:t>
      </w:r>
      <w:bookmarkStart w:id="1" w:name="_GoBack"/>
      <w:bookmarkEnd w:id="1"/>
      <w:r>
        <w:rPr>
          <w:rFonts w:hint="eastAsia" w:ascii="仿宋_GB2312" w:hAnsi="仿宋_GB2312" w:eastAsia="仿宋_GB2312" w:cs="仿宋_GB2312"/>
          <w:color w:val="auto"/>
          <w:kern w:val="0"/>
          <w:sz w:val="32"/>
          <w:szCs w:val="32"/>
          <w:lang w:val="en-US" w:eastAsia="zh-CN" w:bidi="ar"/>
        </w:rPr>
        <w:t xml:space="preserve">省第十三次党代会召开之年，是实施“十四五”规划的发力之年，也是我校全面深化改革发展的关键之年。学校工作的总体要求是：坚持以习近平新时代中国特色社会主义思想为指导，认真贯彻落实党的十九大和十九届历次全会精神、省第十二次党代会及十二届历次全会精神，全面贯彻落实习近平总书记视察贵州重要讲话精神和关于教育的重要论述，紧紧围绕迎接、宣传、贯彻党的二十大这条主线，深入贯彻落实国发〔2022〕2 号文件精神，弘扬伟大建党精神和新时代贵州精神，增强“四个意识”，坚定“四个自信”，拥护“两个确立”，做到“两个维护”，落实立德树人根本任务，坚持稳字当头、稳中求进工作总基调，补齐工作短板，深化综合改革，全面实施凯里学院“十四五”时期“一个坚持”“两个抓手”“两只翅膀”“四大引领任务”的发展战略和发展蓝图，推动学校事业高质量发展，全力开创民族地区高等教育工作新局面，以优异成绩迎接党的二十大和省第十三次党代会胜利召开。 </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（四）部门绩效目标。</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1.项目绩效总体目标</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通过财政资金的支持，加强了我校基础设施建设，改善了办学条件，促进学校教育均衡发展。同时将提高学生素质和能力培养效果，努力把学生培养成具有良好的职业道德和就业创业能力的知识型、发展型综合人才。坚持教育兴州、教育强州，坚信民族教育事业必然兴旺的精神，不忘“立德树人”初心，牢记“为党育人、为国育才”使命，把凯里学院建设成为特色鲜明、区域一流的高水平应用型大学。</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年具体绩效目标</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学校重点工作按计划推进</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教学质量不断提升</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科学创新能力稳步提升</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全面加强学生工作</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加强师资队伍建设</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硕士点建设</w:t>
      </w:r>
    </w:p>
    <w:p>
      <w:pPr>
        <w:keepNext w:val="0"/>
        <w:keepLines w:val="0"/>
        <w:pageBreakBefore w:val="0"/>
        <w:numPr>
          <w:ilvl w:val="0"/>
          <w:numId w:val="1"/>
        </w:numPr>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师范认证</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二、部门整体支出绩效评价工作情况</w:t>
      </w:r>
    </w:p>
    <w:p>
      <w:pPr>
        <w:keepNext w:val="0"/>
        <w:keepLines w:val="0"/>
        <w:pageBreakBefore w:val="0"/>
        <w:kinsoku/>
        <w:wordWrap/>
        <w:overflowPunct/>
        <w:topLinePunct w:val="0"/>
        <w:autoSpaceDE/>
        <w:autoSpaceDN/>
        <w:bidi w:val="0"/>
        <w:adjustRightInd/>
        <w:spacing w:line="52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（一）绩效评价工作情况</w:t>
      </w:r>
    </w:p>
    <w:p>
      <w:pPr>
        <w:keepNext w:val="0"/>
        <w:keepLines w:val="0"/>
        <w:pageBreakBefore w:val="0"/>
        <w:kinsoku/>
        <w:wordWrap/>
        <w:overflowPunct/>
        <w:topLinePunct w:val="0"/>
        <w:autoSpaceDE/>
        <w:autoSpaceDN/>
        <w:bidi w:val="0"/>
        <w:adjustRightInd/>
        <w:spacing w:line="520" w:lineRule="exact"/>
        <w:ind w:firstLine="58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根据黔东南州下发</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kern w:val="0"/>
          <w:sz w:val="32"/>
          <w:szCs w:val="32"/>
          <w:lang w:val="en-US" w:eastAsia="zh-CN" w:bidi="ar"/>
        </w:rPr>
        <w:t>州财政局关于开展2022年度绩效自评工作的通知</w:t>
      </w:r>
      <w:r>
        <w:rPr>
          <w:rFonts w:hint="eastAsia" w:ascii="仿宋_GB2312" w:hAnsi="仿宋_GB2312" w:eastAsia="仿宋_GB2312" w:cs="仿宋_GB2312"/>
          <w:color w:val="auto"/>
          <w:sz w:val="32"/>
          <w:szCs w:val="32"/>
          <w:lang w:val="en-US" w:eastAsia="zh-CN"/>
        </w:rPr>
        <w:t>》（黔东南财绩〔2023〕</w:t>
      </w:r>
      <w:r>
        <w:rPr>
          <w:rFonts w:hint="eastAsia" w:hAnsi="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号）</w:t>
      </w:r>
      <w:r>
        <w:rPr>
          <w:rFonts w:hint="eastAsia" w:ascii="仿宋_GB2312" w:hAnsi="仿宋_GB2312" w:eastAsia="仿宋_GB2312" w:cs="仿宋_GB2312"/>
          <w:sz w:val="32"/>
          <w:szCs w:val="32"/>
        </w:rPr>
        <w:t>的文件精神，</w:t>
      </w:r>
      <w:r>
        <w:rPr>
          <w:rFonts w:hint="eastAsia" w:ascii="仿宋_GB2312" w:hAnsi="仿宋_GB2312" w:eastAsia="仿宋_GB2312" w:cs="仿宋_GB2312"/>
          <w:color w:val="000000"/>
          <w:sz w:val="32"/>
          <w:szCs w:val="32"/>
          <w:shd w:val="clear" w:color="auto" w:fill="FFFFFF"/>
        </w:rPr>
        <w:t>切实增强资金使用单位预算支出绩效意识，提高财政性资金使用效益，我校对</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年的所有项目支出（包括上级转移支付、本级安排的项目及追加预算的项目支出）进行评价。</w:t>
      </w:r>
    </w:p>
    <w:p>
      <w:pPr>
        <w:keepNext w:val="0"/>
        <w:keepLines w:val="0"/>
        <w:pageBreakBefore w:val="0"/>
        <w:kinsoku/>
        <w:wordWrap/>
        <w:overflowPunct/>
        <w:topLinePunct w:val="0"/>
        <w:autoSpaceDE/>
        <w:autoSpaceDN/>
        <w:bidi w:val="0"/>
        <w:adjustRightInd/>
        <w:spacing w:line="52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（二）根据黔东南州支出绩效评价共性指标体系框架，结合我校资金使用的实际情况，设置符合项目自身特点的指标体系，根据设定的目标完成情况进行评分。</w:t>
      </w:r>
    </w:p>
    <w:p>
      <w:pPr>
        <w:keepNext w:val="0"/>
        <w:keepLines w:val="0"/>
        <w:pageBreakBefore w:val="0"/>
        <w:kinsoku/>
        <w:wordWrap/>
        <w:overflowPunct/>
        <w:topLinePunct w:val="0"/>
        <w:autoSpaceDE/>
        <w:autoSpaceDN/>
        <w:bidi w:val="0"/>
        <w:adjustRightInd/>
        <w:spacing w:line="52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月我校根据省教育厅的文件要求对中央、省级专项资金开</w:t>
      </w:r>
      <w:r>
        <w:rPr>
          <w:rFonts w:hint="eastAsia" w:ascii="仿宋_GB2312" w:hAnsi="仿宋_GB2312" w:eastAsia="仿宋_GB2312" w:cs="仿宋_GB2312"/>
          <w:sz w:val="32"/>
          <w:szCs w:val="32"/>
          <w:lang w:eastAsia="zh-CN"/>
        </w:rPr>
        <w:t>展</w:t>
      </w:r>
      <w:r>
        <w:rPr>
          <w:rFonts w:hint="eastAsia" w:ascii="仿宋_GB2312" w:hAnsi="仿宋_GB2312" w:eastAsia="仿宋_GB2312" w:cs="仿宋_GB2312"/>
          <w:sz w:val="32"/>
          <w:szCs w:val="32"/>
        </w:rPr>
        <w:t xml:space="preserve">重点绩效评价工作，我校根据文件收集了项目资金的申报书，项目自评报告，根据各项目自评报告汇总整体资金的完成情况，撰写自评报告。 </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rPr>
        <w:t>结论</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我校资金推动了教育事业健康发展，促进了黔东南州科研事业的发展，</w:t>
      </w:r>
      <w:r>
        <w:rPr>
          <w:rFonts w:hint="eastAsia" w:ascii="仿宋_GB2312" w:hAnsi="仿宋_GB2312" w:eastAsia="仿宋_GB2312" w:cs="仿宋_GB2312"/>
          <w:sz w:val="32"/>
          <w:szCs w:val="32"/>
          <w:lang w:eastAsia="zh-CN"/>
        </w:rPr>
        <w:t>优化</w:t>
      </w:r>
      <w:r>
        <w:rPr>
          <w:rFonts w:hint="eastAsia" w:ascii="仿宋_GB2312" w:hAnsi="仿宋_GB2312" w:eastAsia="仿宋_GB2312" w:cs="仿宋_GB2312"/>
          <w:sz w:val="32"/>
          <w:szCs w:val="32"/>
        </w:rPr>
        <w:t>教育资源</w:t>
      </w:r>
      <w:r>
        <w:rPr>
          <w:rFonts w:hint="eastAsia" w:ascii="仿宋_GB2312" w:hAnsi="仿宋_GB2312" w:eastAsia="仿宋_GB2312" w:cs="仿宋_GB2312"/>
          <w:sz w:val="32"/>
          <w:szCs w:val="32"/>
          <w:lang w:eastAsia="zh-CN"/>
        </w:rPr>
        <w:t>配置</w:t>
      </w:r>
      <w:r>
        <w:rPr>
          <w:rFonts w:hint="eastAsia" w:ascii="仿宋_GB2312" w:hAnsi="仿宋_GB2312" w:eastAsia="仿宋_GB2312" w:cs="仿宋_GB2312"/>
          <w:sz w:val="32"/>
          <w:szCs w:val="32"/>
        </w:rPr>
        <w:t>，整体提升了黔东南州教育质量。专项资金分配通过学校正式文件下达的，</w:t>
      </w:r>
      <w:r>
        <w:rPr>
          <w:rFonts w:hint="eastAsia" w:ascii="仿宋_GB2312" w:hAnsi="仿宋_GB2312" w:eastAsia="仿宋_GB2312" w:cs="仿宋_GB2312"/>
          <w:sz w:val="32"/>
          <w:szCs w:val="32"/>
          <w:lang w:eastAsia="zh-CN"/>
        </w:rPr>
        <w:t>做到客观、</w:t>
      </w:r>
      <w:r>
        <w:rPr>
          <w:rFonts w:hint="eastAsia" w:ascii="仿宋_GB2312" w:hAnsi="仿宋_GB2312" w:eastAsia="仿宋_GB2312" w:cs="仿宋_GB2312"/>
          <w:sz w:val="32"/>
          <w:szCs w:val="32"/>
        </w:rPr>
        <w:t>公正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规范，预算执行及监督到位，总体自评分数为</w:t>
      </w:r>
      <w:r>
        <w:rPr>
          <w:rFonts w:hint="eastAsia" w:ascii="仿宋_GB2312" w:hAnsi="仿宋_GB2312" w:eastAsia="仿宋_GB2312" w:cs="仿宋_GB2312"/>
          <w:sz w:val="32"/>
          <w:szCs w:val="32"/>
          <w:highlight w:val="none"/>
          <w:lang w:val="en-US" w:eastAsia="zh-CN"/>
        </w:rPr>
        <w:t>98</w:t>
      </w:r>
      <w:r>
        <w:rPr>
          <w:rFonts w:hint="eastAsia" w:ascii="仿宋_GB2312" w:hAnsi="仿宋_GB2312" w:eastAsia="仿宋_GB2312" w:cs="仿宋_GB2312"/>
          <w:sz w:val="32"/>
          <w:szCs w:val="32"/>
        </w:rPr>
        <w:t>分，评价</w:t>
      </w:r>
      <w:r>
        <w:rPr>
          <w:rFonts w:hint="eastAsia" w:ascii="仿宋_GB2312" w:hAnsi="仿宋_GB2312" w:eastAsia="仿宋_GB2312" w:cs="仿宋_GB2312"/>
          <w:sz w:val="32"/>
          <w:szCs w:val="32"/>
          <w:lang w:eastAsia="zh-CN"/>
        </w:rPr>
        <w:t>等级</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p>
    <w:p>
      <w:pPr>
        <w:keepNext w:val="0"/>
        <w:keepLines w:val="0"/>
        <w:pageBreakBefore w:val="0"/>
        <w:numPr>
          <w:ilvl w:val="0"/>
          <w:numId w:val="2"/>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部门整体支出绩效实现情况</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（一）指标分析</w:t>
      </w:r>
    </w:p>
    <w:p>
      <w:pPr>
        <w:keepNext w:val="0"/>
        <w:keepLines w:val="0"/>
        <w:pageBreakBefore w:val="0"/>
        <w:numPr>
          <w:ilvl w:val="0"/>
          <w:numId w:val="0"/>
        </w:numPr>
        <w:kinsoku/>
        <w:wordWrap/>
        <w:overflowPunct/>
        <w:topLinePunct w:val="0"/>
        <w:autoSpaceDE/>
        <w:autoSpaceDN/>
        <w:bidi w:val="0"/>
        <w:adjustRightInd/>
        <w:spacing w:line="520"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1.决策（投入）情况 </w:t>
      </w:r>
    </w:p>
    <w:p>
      <w:pPr>
        <w:keepNext w:val="0"/>
        <w:keepLines w:val="0"/>
        <w:pageBreakBefore w:val="0"/>
        <w:numPr>
          <w:ilvl w:val="0"/>
          <w:numId w:val="0"/>
        </w:numPr>
        <w:kinsoku/>
        <w:wordWrap/>
        <w:overflowPunct/>
        <w:topLinePunct w:val="0"/>
        <w:autoSpaceDE/>
        <w:autoSpaceDN/>
        <w:bidi w:val="0"/>
        <w:adjustRightInd/>
        <w:spacing w:line="520"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绩效目标设置合理，指标明确，预算配置在合理范围内。此项评价得分为10分。</w:t>
      </w:r>
    </w:p>
    <w:p>
      <w:pPr>
        <w:keepNext w:val="0"/>
        <w:keepLines w:val="0"/>
        <w:pageBreakBefore w:val="0"/>
        <w:numPr>
          <w:ilvl w:val="0"/>
          <w:numId w:val="0"/>
        </w:numPr>
        <w:kinsoku/>
        <w:wordWrap/>
        <w:overflowPunct/>
        <w:topLinePunct w:val="0"/>
        <w:autoSpaceDE/>
        <w:autoSpaceDN/>
        <w:bidi w:val="0"/>
        <w:adjustRightInd/>
        <w:spacing w:line="52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过程情况 </w:t>
      </w:r>
    </w:p>
    <w:p>
      <w:pPr>
        <w:keepNext w:val="0"/>
        <w:keepLines w:val="0"/>
        <w:pageBreakBefore w:val="0"/>
        <w:numPr>
          <w:ilvl w:val="0"/>
          <w:numId w:val="0"/>
        </w:numPr>
        <w:kinsoku/>
        <w:wordWrap/>
        <w:overflowPunct/>
        <w:topLinePunct w:val="0"/>
        <w:autoSpaceDE/>
        <w:autoSpaceDN/>
        <w:bidi w:val="0"/>
        <w:adjustRightInd/>
        <w:spacing w:line="52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年我校整体预算执行率为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财政要求</w:t>
      </w:r>
      <w:r>
        <w:rPr>
          <w:rFonts w:hint="eastAsia" w:ascii="仿宋_GB2312" w:hAnsi="仿宋_GB2312" w:eastAsia="仿宋_GB2312" w:cs="仿宋_GB2312"/>
          <w:sz w:val="32"/>
          <w:szCs w:val="32"/>
          <w:lang w:val="en-US" w:eastAsia="zh-CN"/>
        </w:rPr>
        <w:t>2022年实行收付实现制。</w:t>
      </w:r>
      <w:r>
        <w:rPr>
          <w:rFonts w:hint="eastAsia" w:ascii="仿宋_GB2312" w:hAnsi="仿宋_GB2312" w:eastAsia="仿宋_GB2312" w:cs="仿宋_GB2312"/>
          <w:sz w:val="32"/>
          <w:szCs w:val="32"/>
        </w:rPr>
        <w:t>此项评价得分</w:t>
      </w: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产出</w:t>
      </w:r>
      <w:r>
        <w:rPr>
          <w:rFonts w:hint="eastAsia" w:ascii="仿宋_GB2312" w:hAnsi="仿宋_GB2312" w:eastAsia="仿宋_GB2312" w:cs="仿宋_GB2312"/>
          <w:sz w:val="32"/>
          <w:szCs w:val="32"/>
          <w:lang w:eastAsia="zh-CN"/>
        </w:rPr>
        <w:t>情况</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数量指标 </w:t>
      </w:r>
      <w:r>
        <w:rPr>
          <w:rFonts w:hint="eastAsia" w:ascii="仿宋_GB2312" w:hAnsi="仿宋_GB2312" w:eastAsia="仿宋_GB2312" w:cs="仿宋_GB2312"/>
          <w:sz w:val="32"/>
          <w:szCs w:val="32"/>
          <w:lang w:eastAsia="zh-CN"/>
        </w:rPr>
        <w:t>完成校级疫情防控；完成</w:t>
      </w:r>
      <w:r>
        <w:rPr>
          <w:rFonts w:hint="eastAsia" w:ascii="仿宋_GB2312" w:hAnsi="仿宋_GB2312" w:eastAsia="仿宋_GB2312" w:cs="仿宋_GB2312"/>
          <w:sz w:val="32"/>
          <w:szCs w:val="32"/>
          <w:lang w:val="en-US" w:eastAsia="zh-CN"/>
        </w:rPr>
        <w:t>2022年民族班传承学生的招收；完成按时发放师范生生活补助；本年度开设课程量未达到4521门，2021-2022学年开设1453门，2022-2023学年开设1406门；2022年毕业生2442人；完成常态化入伍宣传；完成招收入伍；完成困难学生资助</w:t>
      </w:r>
      <w:r>
        <w:rPr>
          <w:rFonts w:hint="eastAsia" w:ascii="仿宋_GB2312" w:hAnsi="仿宋_GB2312" w:eastAsia="仿宋_GB2312" w:cs="仿宋_GB2312"/>
          <w:sz w:val="32"/>
          <w:szCs w:val="32"/>
        </w:rPr>
        <w:t>。</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质量指标 </w:t>
      </w:r>
      <w:r>
        <w:rPr>
          <w:rFonts w:hint="eastAsia" w:ascii="仿宋_GB2312" w:hAnsi="仿宋_GB2312" w:eastAsia="仿宋_GB2312" w:cs="仿宋_GB2312"/>
          <w:sz w:val="32"/>
          <w:szCs w:val="32"/>
          <w:lang w:eastAsia="zh-CN"/>
        </w:rPr>
        <w:t>加强疫情防控；师范生生活补助资金发放到位；入伍政策知晓率提高；传承学生就业率高；困难学生顺利完成学业</w:t>
      </w:r>
      <w:r>
        <w:rPr>
          <w:rFonts w:hint="eastAsia" w:ascii="仿宋_GB2312" w:hAnsi="仿宋_GB2312" w:eastAsia="仿宋_GB2312" w:cs="仿宋_GB2312"/>
          <w:sz w:val="32"/>
          <w:szCs w:val="32"/>
        </w:rPr>
        <w:t>。</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时效</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每日进行疫情防控；及时按时拨付资金。</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成本</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采用收付实现制，成本控制在支出以内</w:t>
      </w:r>
      <w:r>
        <w:rPr>
          <w:rFonts w:hint="eastAsia" w:ascii="仿宋_GB2312" w:hAnsi="仿宋_GB2312" w:eastAsia="仿宋_GB2312" w:cs="仿宋_GB2312"/>
          <w:sz w:val="32"/>
          <w:szCs w:val="32"/>
        </w:rPr>
        <w:t>。</w:t>
      </w:r>
    </w:p>
    <w:p>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此项得分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社会效益</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保障校园安全稳定，减轻受助学生家庭经济负担；培养合格的师范生；提升部队整体文化素质；贫困家庭及学生感党恩。</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此项评分为25分。</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服务对象满意度</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不断提升学校内涵建设水平，提高办学实力，社会声誉显著提升，社会满意程度达到95%已上。此项评</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为10分。</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五、部门整体支出绩效中典型经验、存在问题、原因分析及改进措施</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（一）主要经验及做法</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年高校教育发展资金安排到位，实施顺利，有力地促进了高等教育事业的发展。专项资金均用于支持高等教育事业发展，资金使用合规。为保障项目顺利开展，一些项目组不定期集中开会，统筹协调推进项目。</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（二）主要问题及原因分析</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于学校项目支出绩效目标管理尚在起步阶段，缺少绩效管理的职能部门，政策和制度不够完善和健全，存在较大的被动性。2.组织管理机构内部人员对于项目支出绩效评价意识不强，各负责人的绩效目标申报信息也不够明确；基层领导的重视程度不够，难以起到示范带头的作用；执行工作过程过于形式主义，难以保证项目支出工作的独立性，约束力、依赖性较大。从组织结构性来说，不够完整，急需提高和改良。</w:t>
      </w:r>
    </w:p>
    <w:p>
      <w:pPr>
        <w:keepNext w:val="0"/>
        <w:keepLines w:val="0"/>
        <w:pageBreakBefore w:val="0"/>
        <w:numPr>
          <w:ilvl w:val="0"/>
          <w:numId w:val="3"/>
        </w:numPr>
        <w:kinsoku/>
        <w:wordWrap/>
        <w:overflowPunct/>
        <w:topLinePunct w:val="0"/>
        <w:autoSpaceDE/>
        <w:autoSpaceDN/>
        <w:bidi w:val="0"/>
        <w:adjustRightInd/>
        <w:spacing w:line="520" w:lineRule="exact"/>
        <w:ind w:left="-10" w:leftChars="0" w:firstLine="640" w:firstLine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改进的方向和具体措施</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我校2021年6月开始施行《凯里学院预算绩效管理办法》，同时成立了凯里学院全面实施预算绩效管理工作领导小组，确保项目资金使用科学有效，保证项目资金的最大效益化。2.增进组织机构内部人员的集体观念，应加设管理部门，深化职能部门的标准化、集中化。各部门也应该把眼光开放，不能只局限于自己份内的工作，而是各部门积极沟通，合作交流，形成良好的集体荣誉感，增强责任观念，讲究团队的互助精神。基层领导也应加强重视程度，起着良好的带头示范作用，从而带动员工的积极性，从而保证项目支出工作的良好运行。在组织结构性上，加强组织的独立性和完整性。3.加强对项目支出的监管，在进行项目支出过程中，要注重运用科学依据，但是不能完完全全地照搬照抄，要学会创新应用。对资金的使用情况要做好标注和记录，从而使高校教育事业良好发展。</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六、建议</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（一）加强项目预算管理，提高预算执行率</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应加强预算编制管理，根据实事求是的原则，科学分析预算项目的必要性、可行性，准确测算所需资金，然后将预算细化到每个执行节点，增强预算的可操作性，减少和避免预算调整，以保证整体支出预算的准确性。同时，进一步加强对预算执行过程的监督管理，明确各项预算执行的主体责任，设立预算执行监督管理机构，对预算执行的目标进行分阶段考核，并依据执行进度积极调整应对措施，以确保预算有效执行，提高年度预算执行率。</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（二）进一步完善对项目资金的日常监管，强化对项目支出的全过程控制</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方面及时掌握各单位项目现状，强化各方对项目推进的责任意识；另一方面加强督促、考核各单位项目实施进度、资金使用和项目绩效目标的实现情况。针对跨年项目实施滚动管理，全过程考核控制，直至项目最后验收完成。对于项目实施工期需要延长的情况，各单位应及时汇报项目进度，签订相关延期协议，并责成主管部门督促项目如期完工。</w:t>
      </w:r>
    </w:p>
    <w:p>
      <w:pPr>
        <w:keepNext w:val="0"/>
        <w:keepLines w:val="0"/>
        <w:pageBreakBefore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项目经费执行率低的问题，一是要明确责任部门和责任人，及时协调系统服务商、供货厂家和各建设任务主体，督促工作进度，及时协调解项目实施过程中出现的问题；二是要及时组织召开沟通协调会议，加快项目实施进度，定时向分管领导汇报进度；三是由领导带队开展实地督导，通过领导调研加大协调力度，及时解决项目实施过程中遇到的各种难点问题。</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绩效评价结果应用建议</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八、其他需要说明的问题</w:t>
      </w:r>
    </w:p>
    <w:bookmarkEnd w:id="0"/>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keepNext w:val="0"/>
        <w:keepLines w:val="0"/>
        <w:pageBreakBefore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lang w:eastAsia="zh-CN"/>
        </w:rPr>
      </w:pPr>
    </w:p>
    <w:p>
      <w:pPr>
        <w:pStyle w:val="2"/>
        <w:keepNext w:val="0"/>
        <w:keepLines w:val="0"/>
        <w:pageBreakBefore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凯里学院</w:t>
      </w:r>
    </w:p>
    <w:p>
      <w:pPr>
        <w:pStyle w:val="2"/>
        <w:keepNext w:val="0"/>
        <w:keepLines w:val="0"/>
        <w:pageBreakBefore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2023年4月27日</w:t>
      </w:r>
    </w:p>
    <w:p>
      <w:pPr>
        <w:pStyle w:val="2"/>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p>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587994"/>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4169C"/>
    <w:multiLevelType w:val="singleLevel"/>
    <w:tmpl w:val="0F64169C"/>
    <w:lvl w:ilvl="0" w:tentative="0">
      <w:start w:val="1"/>
      <w:numFmt w:val="decimal"/>
      <w:suff w:val="nothing"/>
      <w:lvlText w:val="（%1）"/>
      <w:lvlJc w:val="left"/>
    </w:lvl>
  </w:abstractNum>
  <w:abstractNum w:abstractNumId="1">
    <w:nsid w:val="2691A921"/>
    <w:multiLevelType w:val="singleLevel"/>
    <w:tmpl w:val="2691A921"/>
    <w:lvl w:ilvl="0" w:tentative="0">
      <w:start w:val="2"/>
      <w:numFmt w:val="chineseCounting"/>
      <w:suff w:val="nothing"/>
      <w:lvlText w:val="（%1）"/>
      <w:lvlJc w:val="left"/>
      <w:pPr>
        <w:ind w:left="-10"/>
      </w:pPr>
      <w:rPr>
        <w:rFonts w:hint="eastAsia"/>
      </w:rPr>
    </w:lvl>
  </w:abstractNum>
  <w:abstractNum w:abstractNumId="2">
    <w:nsid w:val="6FE1775F"/>
    <w:multiLevelType w:val="singleLevel"/>
    <w:tmpl w:val="6FE1775F"/>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ZiMzBhOWY0NDVhZTg3YTFlNGY4Yjk2NWVlMDA2ZjIifQ=="/>
  </w:docVars>
  <w:rsids>
    <w:rsidRoot w:val="05791921"/>
    <w:rsid w:val="000544F9"/>
    <w:rsid w:val="000C0ABA"/>
    <w:rsid w:val="001810A3"/>
    <w:rsid w:val="00196BF6"/>
    <w:rsid w:val="00246FB7"/>
    <w:rsid w:val="003324A5"/>
    <w:rsid w:val="003643F4"/>
    <w:rsid w:val="00403CFA"/>
    <w:rsid w:val="0046281C"/>
    <w:rsid w:val="004D4D89"/>
    <w:rsid w:val="004E691B"/>
    <w:rsid w:val="00790096"/>
    <w:rsid w:val="00992505"/>
    <w:rsid w:val="009B62AE"/>
    <w:rsid w:val="00AE4429"/>
    <w:rsid w:val="00BA415F"/>
    <w:rsid w:val="00E51A88"/>
    <w:rsid w:val="00EC7A16"/>
    <w:rsid w:val="00F07A0D"/>
    <w:rsid w:val="00F11EB9"/>
    <w:rsid w:val="00F75086"/>
    <w:rsid w:val="00F825BF"/>
    <w:rsid w:val="01D83D60"/>
    <w:rsid w:val="02D86CF4"/>
    <w:rsid w:val="050111BD"/>
    <w:rsid w:val="05791921"/>
    <w:rsid w:val="06202E3C"/>
    <w:rsid w:val="074233B6"/>
    <w:rsid w:val="094F3B16"/>
    <w:rsid w:val="0BC17812"/>
    <w:rsid w:val="0D5A319B"/>
    <w:rsid w:val="0E323572"/>
    <w:rsid w:val="134D4116"/>
    <w:rsid w:val="136D18EE"/>
    <w:rsid w:val="146833BF"/>
    <w:rsid w:val="169117BA"/>
    <w:rsid w:val="16B41E17"/>
    <w:rsid w:val="16D263C8"/>
    <w:rsid w:val="17794F75"/>
    <w:rsid w:val="183178B6"/>
    <w:rsid w:val="194E26C3"/>
    <w:rsid w:val="19F02F58"/>
    <w:rsid w:val="1A2F188F"/>
    <w:rsid w:val="1DF37F4D"/>
    <w:rsid w:val="1F50216C"/>
    <w:rsid w:val="238030F0"/>
    <w:rsid w:val="23B24D7A"/>
    <w:rsid w:val="27721C50"/>
    <w:rsid w:val="281D0603"/>
    <w:rsid w:val="2D66504B"/>
    <w:rsid w:val="30A24CD6"/>
    <w:rsid w:val="3A290879"/>
    <w:rsid w:val="3B59028F"/>
    <w:rsid w:val="3CC42DED"/>
    <w:rsid w:val="3CCA4061"/>
    <w:rsid w:val="3E91603E"/>
    <w:rsid w:val="3EC12188"/>
    <w:rsid w:val="3EEA7D9D"/>
    <w:rsid w:val="3FC002F6"/>
    <w:rsid w:val="40AE5907"/>
    <w:rsid w:val="41A30BE4"/>
    <w:rsid w:val="42A157F3"/>
    <w:rsid w:val="434D5917"/>
    <w:rsid w:val="454928B9"/>
    <w:rsid w:val="495C3E66"/>
    <w:rsid w:val="4A834EB5"/>
    <w:rsid w:val="4ADB43B8"/>
    <w:rsid w:val="4B5B6B3D"/>
    <w:rsid w:val="4F023FB2"/>
    <w:rsid w:val="4FF3159E"/>
    <w:rsid w:val="5038161B"/>
    <w:rsid w:val="50852CBD"/>
    <w:rsid w:val="50975B0F"/>
    <w:rsid w:val="50A75AC8"/>
    <w:rsid w:val="5202481E"/>
    <w:rsid w:val="53566F51"/>
    <w:rsid w:val="54907D85"/>
    <w:rsid w:val="56CD58FC"/>
    <w:rsid w:val="581209FA"/>
    <w:rsid w:val="58E24EB0"/>
    <w:rsid w:val="5A7E78FC"/>
    <w:rsid w:val="5AE77F08"/>
    <w:rsid w:val="5B2843FD"/>
    <w:rsid w:val="5C326379"/>
    <w:rsid w:val="5C6036A9"/>
    <w:rsid w:val="5D2B6FE0"/>
    <w:rsid w:val="5FB84304"/>
    <w:rsid w:val="65592FEE"/>
    <w:rsid w:val="677C1F5E"/>
    <w:rsid w:val="6B9A521C"/>
    <w:rsid w:val="70DE3365"/>
    <w:rsid w:val="71497EB2"/>
    <w:rsid w:val="717F4B86"/>
    <w:rsid w:val="767D16F8"/>
    <w:rsid w:val="76EE5083"/>
    <w:rsid w:val="79844D36"/>
    <w:rsid w:val="7AD53EB8"/>
    <w:rsid w:val="7B7103D9"/>
    <w:rsid w:val="7BC27765"/>
    <w:rsid w:val="7C017481"/>
    <w:rsid w:val="7C71409D"/>
    <w:rsid w:val="7E8B7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spacing w:after="120"/>
      <w:jc w:val="left"/>
    </w:pPr>
    <w:rPr>
      <w:rFonts w:ascii="宋体" w:hAnsi="宋体"/>
      <w:kern w:val="0"/>
      <w:sz w:val="24"/>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4207</Words>
  <Characters>4624</Characters>
  <Lines>7</Lines>
  <Paragraphs>1</Paragraphs>
  <TotalTime>33</TotalTime>
  <ScaleCrop>false</ScaleCrop>
  <LinksUpToDate>false</LinksUpToDate>
  <CharactersWithSpaces>4723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2020-06-17T02:21:00Z</dcterms:created>
  <dc:creator>Administrator</dc:creator>
  <cp:lastModifiedBy>钞[爱心]皓[爱心]逸</cp:lastModifiedBy>
  <cp:lastPrinted>2023-04-27T09:24:00Z</cp:lastPrinted>
  <dcterms:modified xsi:type="dcterms:W3CDTF">2023-04-28T00:11:25Z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362F870E3F2C40778419E4E26FC3CCC3_12</vt:lpwstr>
  </property>
</Properties>
</file>