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default" w:ascii="黑体" w:hAnsi="黑体" w:eastAsia="黑体" w:cs="黑体"/>
          <w:color w:val="auto"/>
          <w:lang w:val="en-US" w:eastAsia="zh-CN"/>
        </w:rPr>
      </w:pPr>
      <w:r>
        <w:rPr>
          <w:rFonts w:hint="eastAsia" w:ascii="黑体" w:hAnsi="黑体" w:eastAsia="黑体" w:cs="黑体"/>
          <w:color w:val="auto"/>
          <w:lang w:val="en-US" w:eastAsia="zh-CN"/>
        </w:rPr>
        <w:t>附件5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凯里学院</w:t>
      </w:r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  <w:lang w:val="en-US" w:eastAsia="zh-CN"/>
        </w:rPr>
        <w:t>202</w:t>
      </w:r>
      <w:r>
        <w:rPr>
          <w:rFonts w:hint="eastAsia" w:ascii="Times New Roman" w:eastAsia="方正小标宋简体" w:cs="Times New Roman"/>
          <w:color w:val="auto"/>
          <w:sz w:val="44"/>
          <w:szCs w:val="44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年度绩效自评工作总结</w:t>
      </w:r>
    </w:p>
    <w:p>
      <w:pPr>
        <w:pStyle w:val="2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</w:p>
    <w:p>
      <w:pPr>
        <w:ind w:firstLine="640" w:firstLineChars="200"/>
        <w:rPr>
          <w:color w:val="auto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根据《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  <w:t>州财政局关于开展202</w:t>
      </w:r>
      <w:r>
        <w:rPr>
          <w:rFonts w:hint="eastAsia" w:hAnsi="仿宋_GB2312" w:cs="仿宋_GB2312"/>
          <w:color w:val="auto"/>
          <w:kern w:val="0"/>
          <w:sz w:val="32"/>
          <w:szCs w:val="32"/>
          <w:lang w:val="en-US" w:eastAsia="zh-CN" w:bidi="ar"/>
        </w:rPr>
        <w:t>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  <w:t>年度绩效自评工作的通知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》（黔东南财绩〔202</w:t>
      </w:r>
      <w:r>
        <w:rPr>
          <w:rFonts w:hint="eastAsia" w:hAnsi="仿宋_GB2312" w:cs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〕</w:t>
      </w:r>
      <w:r>
        <w:rPr>
          <w:rFonts w:hint="eastAsia" w:hAnsi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号）文件</w:t>
      </w:r>
      <w:r>
        <w:rPr>
          <w:rFonts w:hint="eastAsia" w:hAnsi="仿宋_GB2312" w:cs="仿宋_GB2312"/>
          <w:color w:val="auto"/>
          <w:sz w:val="32"/>
          <w:szCs w:val="32"/>
          <w:lang w:val="en-US" w:eastAsia="zh-CN"/>
        </w:rPr>
        <w:t>精神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，</w:t>
      </w:r>
      <w:r>
        <w:rPr>
          <w:rFonts w:hint="eastAsia" w:hAnsi="仿宋_GB2312" w:cs="仿宋_GB2312"/>
          <w:color w:val="auto"/>
          <w:sz w:val="32"/>
          <w:szCs w:val="32"/>
          <w:lang w:val="en-US" w:eastAsia="zh-CN"/>
        </w:rPr>
        <w:t>现对2022年度绩效自评作以下总结：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 w:cs="黑体"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绩效自评工作基本</w:t>
      </w:r>
      <w:r>
        <w:rPr>
          <w:rFonts w:hint="eastAsia" w:ascii="黑体" w:hAnsi="黑体" w:eastAsia="黑体" w:cs="黑体"/>
          <w:bCs/>
          <w:color w:val="auto"/>
          <w:sz w:val="32"/>
          <w:szCs w:val="32"/>
        </w:rPr>
        <w:t>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Cs/>
          <w:color w:val="auto"/>
          <w:sz w:val="32"/>
          <w:szCs w:val="32"/>
          <w:lang w:eastAsia="zh-CN"/>
        </w:rPr>
        <w:t>（一）</w:t>
      </w: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eastAsia="zh-CN"/>
        </w:rPr>
        <w:t>组织实施情况</w:t>
      </w:r>
    </w:p>
    <w:p>
      <w:pPr>
        <w:spacing w:line="560" w:lineRule="exact"/>
        <w:ind w:firstLine="640" w:firstLineChars="200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组织保障</w:t>
      </w:r>
      <w:r>
        <w:rPr>
          <w:rFonts w:hint="eastAsia" w:hAnsi="仿宋_GB2312" w:cs="仿宋_GB2312"/>
          <w:color w:val="auto"/>
          <w:sz w:val="32"/>
          <w:szCs w:val="32"/>
          <w:lang w:eastAsia="zh-CN"/>
        </w:rPr>
        <w:t>，为构建全方位、全过程、全覆盖的预算绩效管理体系，强化部门支出责任和效率意识，提高财政资金使用效益，提升预算绩效管理水平，建立健全我校预算绩效管理机制，</w:t>
      </w:r>
      <w:r>
        <w:rPr>
          <w:rFonts w:hint="eastAsia" w:hAnsi="仿宋_GB2312" w:cs="仿宋_GB2312"/>
          <w:color w:val="auto"/>
          <w:sz w:val="32"/>
          <w:szCs w:val="32"/>
          <w:lang w:val="en-US" w:eastAsia="zh-CN"/>
        </w:rPr>
        <w:t>2021年成立凯里学院全面实施预算绩效管理工作领导小组：领导小组下设办公室，办公室设在计划财务处，舒继福兼任办公室主任、吴健兼任办公室副主任，负责我校预算绩效管理工作的统筹安排、协调、资料汇总上报等日常工作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hAnsi="仿宋_GB2312" w:cs="仿宋_GB2312"/>
          <w:color w:val="auto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制度建设</w:t>
      </w:r>
      <w:r>
        <w:rPr>
          <w:rFonts w:hint="eastAsia" w:hAnsi="仿宋_GB2312" w:cs="仿宋_GB2312"/>
          <w:color w:val="auto"/>
          <w:sz w:val="32"/>
          <w:szCs w:val="32"/>
          <w:lang w:eastAsia="zh-CN"/>
        </w:rPr>
        <w:t>，结合我校工作实际，</w:t>
      </w:r>
      <w:r>
        <w:rPr>
          <w:rFonts w:hint="eastAsia" w:hAnsi="仿宋_GB2312" w:cs="仿宋_GB2312"/>
          <w:color w:val="auto"/>
          <w:sz w:val="32"/>
          <w:szCs w:val="32"/>
          <w:lang w:val="en-US" w:eastAsia="zh-CN"/>
        </w:rPr>
        <w:t>2021年制定《凯里学院预算绩效管理办法》</w:t>
      </w:r>
      <w:r>
        <w:rPr>
          <w:rFonts w:hint="eastAsia" w:ascii="仿宋_GB2312" w:eastAsia="仿宋_GB2312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Cs/>
          <w:color w:val="auto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Cs/>
          <w:color w:val="auto"/>
          <w:sz w:val="32"/>
          <w:szCs w:val="32"/>
          <w:lang w:eastAsia="zh-CN"/>
        </w:rPr>
        <w:t>（二）绩效自评规模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本次参与资金绩效自评的项目有19个：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1.学生资助补助经费（高等教育）中央资金，2022年学生资助补助经费（高等教育）州级配套资金，2022年第二批学生资助补助经费（高等教育）州级配套资金，2022年第二批学生资助补助经费（高等教育）中央资金，2022年高等教育资助补助资金（下基层学费补偿、国家助学贷款代偿），2021年度第二批学生资助[高等教育]中央补助经费及州级配套，2021年学生资助补助经费[高等教育]州级配套资金，2021年国家助学贷款中央奖补资金[第二批]，合计金额1813.32万元，中央资金1270.74万元，已全部使用，州级配套资金542.58万元，已使用503.979万元，余38.601万元；2.2021-2022学年第一批教育精准扶贫学生资助州级配套资金预算、2022年巩固拓展脱贫攻坚成果专项学生资助（原教育精准扶贫学生资助）州级配套，合计金额1701.4935万元，余下150万元，在2022年春季学期发放给原精准扶贫受助学生；3.2021年生源地助学贷款风险补偿金，2022年生源地信用贷款风险补偿金州级专项资金，总金额181.35万元，已使用完毕；4.2022年高校人文社会科学研究项目省级补助资金，金额1万元，经费已近使用完毕；5.2021年扶持市[州、地]高质量提升工程项目专项资金、2021年教育高质量发展省级资金[支持做特市州高校]、2022年扶持市（州）高校质量提升工程项目专项资金，总金额6000万元，已使用3901.07万元，余下2198.93万元；6.2022年公派出国及留学生补助省级资金，金额4.2万元，经费已完成；7.</w:t>
      </w:r>
      <w:r>
        <w:rPr>
          <w:rFonts w:hint="eastAsia"/>
          <w:color w:val="auto"/>
          <w:highlight w:val="none"/>
          <w:lang w:val="en-US" w:eastAsia="zh-CN"/>
        </w:rPr>
        <w:t>2021年高校征兵工作经费和应征入伍大学生奖励金，总金额43.8万元，已使用41.66万元，余下2.14万元（已被收回）；</w:t>
      </w:r>
      <w:r>
        <w:rPr>
          <w:rFonts w:hint="eastAsia"/>
          <w:color w:val="auto"/>
          <w:lang w:val="en-US" w:eastAsia="zh-CN"/>
        </w:rPr>
        <w:t>8.共和国的脊梁献礼建党100周年大型展演，2022年度高校思想政治工作省级专项经费，总金额25万元，已使用完毕；</w:t>
      </w:r>
      <w:r>
        <w:rPr>
          <w:rFonts w:hint="eastAsia"/>
          <w:color w:val="auto"/>
          <w:highlight w:val="none"/>
          <w:lang w:val="en-US" w:eastAsia="zh-CN"/>
        </w:rPr>
        <w:t>9.本专</w:t>
      </w:r>
      <w:r>
        <w:rPr>
          <w:rFonts w:hint="eastAsia"/>
          <w:color w:val="auto"/>
          <w:lang w:val="en-US" w:eastAsia="zh-CN"/>
        </w:rPr>
        <w:t>科师范类学生生活补助，总金额308万元，已使用129.786万元，余178.214万元用于发放2023年本专科师范类学生生活补助；</w:t>
      </w:r>
      <w:r>
        <w:rPr>
          <w:rFonts w:hint="eastAsia"/>
          <w:color w:val="auto"/>
          <w:highlight w:val="none"/>
          <w:lang w:val="en-US" w:eastAsia="zh-CN"/>
        </w:rPr>
        <w:t>10.民族班补助经费，总金额133万元，经费已使用；</w:t>
      </w:r>
      <w:r>
        <w:rPr>
          <w:rFonts w:hint="eastAsia"/>
          <w:color w:val="auto"/>
          <w:lang w:val="en-US" w:eastAsia="zh-CN"/>
        </w:rPr>
        <w:t>11.财政贷款贴息，金额600万元，300万元用于偿还财政借款，另300万元用于偿还凯里农商行贷款本息；12.2022年中央支持地方高校改革发展资金，分两批一次性拨付，合计金额2805.9万元，已支付2805.9万元，12月底经费已用完；</w:t>
      </w:r>
      <w:r>
        <w:rPr>
          <w:rFonts w:hint="eastAsia"/>
          <w:color w:val="auto"/>
          <w:highlight w:val="none"/>
          <w:lang w:val="en-US" w:eastAsia="zh-CN"/>
        </w:rPr>
        <w:t>13.2021-2022年省级少数民族教育专项经费，总金额30万元，已使用21万元，余9万元在2023年使用</w:t>
      </w:r>
      <w:r>
        <w:rPr>
          <w:rFonts w:hint="eastAsia"/>
          <w:color w:val="auto"/>
          <w:lang w:val="en-US" w:eastAsia="zh-CN"/>
        </w:rPr>
        <w:t>；14.2021年省级民族工作经费，总金额25万元，已使用13.97万元，余下11.03万元；15.2022年语言文字工作专项经费，总金额21万元，已使用完毕;16.2022年苗绣培训班，总金额50万元，未使用；17.2022年教育素质发展及校园足球省级补助资金，总金额10万元，未使用; 18.2021年研究生教育改革发展与质量提升专款,总金额100万元，已使用完毕；19.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体育人力资源培训，经费75万元，已使用完毕</w:t>
      </w:r>
      <w:r>
        <w:rPr>
          <w:rFonts w:hint="eastAsia"/>
          <w:color w:val="auto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另有4个项目，未参与本次资金绩效自评，具体如下：</w:t>
      </w:r>
    </w:p>
    <w:tbl>
      <w:tblPr>
        <w:tblStyle w:val="6"/>
        <w:tblW w:w="5047" w:type="pct"/>
        <w:tblInd w:w="-12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0"/>
        <w:gridCol w:w="2595"/>
        <w:gridCol w:w="1035"/>
        <w:gridCol w:w="960"/>
        <w:gridCol w:w="184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11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指标文号</w:t>
            </w:r>
          </w:p>
        </w:tc>
        <w:tc>
          <w:tcPr>
            <w:tcW w:w="15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指标摘要（用途）</w:t>
            </w: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指标金额</w:t>
            </w: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202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年年末结转指标申报金额</w:t>
            </w:r>
          </w:p>
        </w:tc>
        <w:tc>
          <w:tcPr>
            <w:tcW w:w="1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未完成原因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1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黔东南财农[2022]79号</w:t>
            </w:r>
          </w:p>
        </w:tc>
        <w:tc>
          <w:tcPr>
            <w:tcW w:w="15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2022年第一批省级民族工作项目经费</w:t>
            </w: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460000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460000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  <w:t>年12月拨付资金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1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黔东南财行[2022]48号</w:t>
            </w:r>
          </w:p>
        </w:tc>
        <w:tc>
          <w:tcPr>
            <w:tcW w:w="15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2022年妇女儿童专项资金</w:t>
            </w: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20000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20000</w:t>
            </w:r>
          </w:p>
        </w:tc>
        <w:tc>
          <w:tcPr>
            <w:tcW w:w="1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  <w:t>年12月拨付资金，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1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黔东南财建[2022]82号</w:t>
            </w:r>
          </w:p>
        </w:tc>
        <w:tc>
          <w:tcPr>
            <w:tcW w:w="15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2022年凯里学院省级双创示范基地双创支撑平台建设项目</w:t>
            </w: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300000</w:t>
            </w: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300000</w:t>
            </w:r>
          </w:p>
        </w:tc>
        <w:tc>
          <w:tcPr>
            <w:tcW w:w="1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  <w:t>年12月拨付资金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1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黔东南财农[2022]78号</w:t>
            </w:r>
          </w:p>
        </w:tc>
        <w:tc>
          <w:tcPr>
            <w:tcW w:w="15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健身操参加贵州省第十届少数民族传统体育运动会备战经费</w:t>
            </w: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141300</w:t>
            </w: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141300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  <w:t>年</w:t>
            </w:r>
            <w:r>
              <w:rPr>
                <w:rFonts w:hint="eastAsia" w:ascii="宋体" w:hAnsi="宋体" w:cs="宋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  <w:t>月拨付资金，因疫情，未展开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1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15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921300</w:t>
            </w: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921300</w:t>
            </w:r>
          </w:p>
        </w:tc>
        <w:tc>
          <w:tcPr>
            <w:tcW w:w="1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楷体_GB2312" w:hAnsi="楷体_GB2312" w:eastAsia="楷体_GB2312" w:cs="楷体_GB2312"/>
          <w:bCs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Cs/>
          <w:color w:val="auto"/>
          <w:sz w:val="32"/>
          <w:szCs w:val="32"/>
          <w:lang w:val="en-US" w:eastAsia="zh-CN"/>
        </w:rPr>
        <w:t>（三）绩效自评整体结论</w:t>
      </w:r>
    </w:p>
    <w:p>
      <w:pPr>
        <w:spacing w:line="560" w:lineRule="exact"/>
        <w:ind w:firstLine="640" w:firstLineChars="200"/>
        <w:rPr>
          <w:rFonts w:hint="eastAsia" w:hAnsi="仿宋_GB2312" w:cs="仿宋_GB2312"/>
          <w:color w:val="auto"/>
          <w:szCs w:val="32"/>
          <w:lang w:val="en-US" w:eastAsia="zh-CN"/>
        </w:rPr>
      </w:pPr>
      <w:r>
        <w:rPr>
          <w:rFonts w:hint="eastAsia" w:hAnsi="仿宋_GB2312" w:cs="仿宋_GB2312"/>
          <w:color w:val="auto"/>
          <w:szCs w:val="32"/>
          <w:lang w:eastAsia="zh-CN"/>
        </w:rPr>
        <w:t>我校</w:t>
      </w:r>
      <w:r>
        <w:rPr>
          <w:rFonts w:hint="eastAsia" w:hAnsi="仿宋_GB2312" w:cs="仿宋_GB2312"/>
          <w:color w:val="auto"/>
          <w:szCs w:val="32"/>
          <w:lang w:val="en-US" w:eastAsia="zh-CN"/>
        </w:rPr>
        <w:t>2022年项目总计有23个（同性质的按一个项目），总计金额为18279.19万元，经费改善了我校教学条件，提高教学质量，保障学生能够顺利完成学业，实现我校为社会输送人才的目标。</w:t>
      </w:r>
    </w:p>
    <w:p>
      <w:pPr>
        <w:pStyle w:val="5"/>
        <w:rPr>
          <w:rFonts w:hint="eastAsia" w:eastAsia="仿宋_GB2312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2022年基本支出有19992.5万元，按时发放在职人员、离退休人员的工资和遗属人员生活补助，保障教职工生活稳定。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黑体" w:hAnsi="黑体" w:eastAsia="黑体" w:cs="黑体"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Cs/>
          <w:color w:val="auto"/>
          <w:sz w:val="32"/>
          <w:szCs w:val="32"/>
        </w:rPr>
        <w:t>绩效自评结果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/>
          <w:color w:val="auto"/>
          <w:lang w:eastAsia="zh-CN"/>
        </w:rPr>
      </w:pPr>
      <w:r>
        <w:rPr>
          <w:rFonts w:hint="eastAsia" w:ascii="楷体_GB2312" w:hAnsi="楷体_GB2312" w:eastAsia="楷体_GB2312" w:cs="楷体_GB2312"/>
          <w:bCs/>
          <w:color w:val="auto"/>
          <w:sz w:val="32"/>
          <w:szCs w:val="32"/>
          <w:lang w:eastAsia="zh-CN"/>
        </w:rPr>
        <w:t>项目支出绩效自评结果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eastAsia"/>
          <w:color w:val="auto"/>
          <w:lang w:eastAsia="zh-CN"/>
        </w:rPr>
      </w:pPr>
      <w:r>
        <w:rPr>
          <w:rFonts w:hint="eastAsia"/>
          <w:color w:val="auto"/>
          <w:lang w:val="en-US" w:eastAsia="zh-CN"/>
        </w:rPr>
        <w:t>1.学生资助补助经费（高等教育）中央资金，2022年学生资助补助经费（高等教育）州级配套资金，2022年第二批学生资助补助经费（高等教育）州级配套资金，2022年第二批学生资助补助经费（高等教育）中央资金，2022年高等教育资助补助资金（下基层学费补偿、国家助学贷款代偿），2021年度第二批学生资助[高等教育]中央补助经费及州级配套，2021年学生资助补助经费[高等教育]州级配套资金，2021年国家助学贷款中央奖补资金[第二批]，自评得分99分；2.2021-2022学年第一批教育精准扶贫学生资助州级配套资金预算、2022年巩固拓展脱贫攻坚成果专项学生资助（原教育精准扶贫学生资助）州级配套，合计金额1701.4935万元，自评得分99分；3.2021年生源地助学贷款风险补偿金，2022年生源地信用贷款风险补偿金州级专项资金，自评得分100分；4.2022年高校人文社会科学研究项目省级补助资金，金额1万元，自评得分99分；5.2021年扶持市[州、地]高质量提升工程项目专项资金、2021年教育高质量发展省级资金[支持做特市州高校]，自评得分98分，2022年扶持市（州）高校质量提升工程项目专项资金，</w:t>
      </w:r>
      <w:r>
        <w:rPr>
          <w:rFonts w:hint="eastAsia"/>
          <w:color w:val="auto"/>
          <w:highlight w:val="none"/>
          <w:lang w:val="en-US" w:eastAsia="zh-CN"/>
        </w:rPr>
        <w:t>自评得分55分，项目平均分76.5分</w:t>
      </w:r>
      <w:r>
        <w:rPr>
          <w:rFonts w:hint="eastAsia"/>
          <w:color w:val="auto"/>
          <w:lang w:val="en-US" w:eastAsia="zh-CN"/>
        </w:rPr>
        <w:t>；6.2022年公派出国及留学生补助省级资金，自评得分100分；7.</w:t>
      </w:r>
      <w:r>
        <w:rPr>
          <w:rFonts w:hint="eastAsia"/>
          <w:color w:val="auto"/>
          <w:highlight w:val="none"/>
          <w:lang w:val="en-US" w:eastAsia="zh-CN"/>
        </w:rPr>
        <w:t>2021年高校征兵工作经费和应征入伍大学生奖励金，自评得分97.5分；</w:t>
      </w:r>
      <w:r>
        <w:rPr>
          <w:rFonts w:hint="eastAsia"/>
          <w:color w:val="auto"/>
          <w:lang w:val="en-US" w:eastAsia="zh-CN"/>
        </w:rPr>
        <w:t>8.共和国的脊梁献礼建党100周年大型展演，2022年度高校思想政治工作省级专项经费，自评得分89分；</w:t>
      </w:r>
      <w:r>
        <w:rPr>
          <w:rFonts w:hint="eastAsia"/>
          <w:color w:val="auto"/>
          <w:highlight w:val="none"/>
          <w:lang w:val="en-US" w:eastAsia="zh-CN"/>
        </w:rPr>
        <w:t>9.本专</w:t>
      </w:r>
      <w:r>
        <w:rPr>
          <w:rFonts w:hint="eastAsia"/>
          <w:color w:val="auto"/>
          <w:lang w:val="en-US" w:eastAsia="zh-CN"/>
        </w:rPr>
        <w:t>科师范类学生生活补助，自评得分94.21分；</w:t>
      </w:r>
      <w:r>
        <w:rPr>
          <w:rFonts w:hint="eastAsia"/>
          <w:color w:val="auto"/>
          <w:highlight w:val="none"/>
          <w:lang w:val="en-US" w:eastAsia="zh-CN"/>
        </w:rPr>
        <w:t>10.民族班补助经费，自评得分100分；</w:t>
      </w:r>
      <w:r>
        <w:rPr>
          <w:rFonts w:hint="eastAsia"/>
          <w:color w:val="auto"/>
          <w:lang w:val="en-US" w:eastAsia="zh-CN"/>
        </w:rPr>
        <w:t>11.财政贷款贴息，自评得分100分；12.2022年中央支持地方高校改革发展资金</w:t>
      </w:r>
      <w:r>
        <w:rPr>
          <w:rFonts w:hint="eastAsia"/>
          <w:color w:val="auto"/>
          <w:highlight w:val="none"/>
          <w:lang w:val="en-US" w:eastAsia="zh-CN"/>
        </w:rPr>
        <w:t>，自评得分95分；1</w:t>
      </w:r>
      <w:r>
        <w:rPr>
          <w:rFonts w:hint="eastAsia"/>
          <w:color w:val="auto"/>
          <w:lang w:val="en-US" w:eastAsia="zh-CN"/>
        </w:rPr>
        <w:t>3.2021年省级少数民族教育专项经费，自评得分93.975分；14.2021年省级民族工作经费，自评得分96分；15.2022年语言文字工作专项经费，自评得分100分;16.2022年苗绣培训班，自评得分85分；17.2022年教育素质发展及校园足球省级补助资金，自评得分89分；18.2021年研究生教育改革发展与质量提升专款，自评得分99分；19.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体育人力资源培训，自评得分97分；</w:t>
      </w:r>
      <w:r>
        <w:rPr>
          <w:rFonts w:hint="eastAsia"/>
          <w:color w:val="auto"/>
          <w:lang w:val="en-US" w:eastAsia="zh-CN"/>
        </w:rPr>
        <w:t>各个项目自评平均分95.22分，自评结果为优秀。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bCs/>
          <w:color w:val="auto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Cs/>
          <w:color w:val="auto"/>
          <w:sz w:val="32"/>
          <w:szCs w:val="32"/>
          <w:lang w:eastAsia="zh-CN"/>
        </w:rPr>
        <w:t>部门整体支出绩效自评结果</w:t>
      </w:r>
    </w:p>
    <w:p>
      <w:pPr>
        <w:pStyle w:val="2"/>
        <w:numPr>
          <w:ilvl w:val="0"/>
          <w:numId w:val="0"/>
        </w:numPr>
        <w:ind w:leftChars="200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部门整体支出绩效自评表自评</w:t>
      </w:r>
      <w:r>
        <w:rPr>
          <w:rFonts w:hint="eastAsia" w:hAnsi="仿宋_GB2312" w:cs="仿宋_GB2312"/>
          <w:color w:val="auto"/>
          <w:sz w:val="32"/>
          <w:szCs w:val="32"/>
          <w:lang w:val="en-US" w:eastAsia="zh-CN"/>
        </w:rPr>
        <w:t>99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分</w:t>
      </w:r>
      <w:r>
        <w:rPr>
          <w:rFonts w:hint="eastAsia" w:hAnsi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自评结果为优秀。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bCs/>
          <w:color w:val="auto"/>
          <w:sz w:val="32"/>
          <w:szCs w:val="32"/>
        </w:rPr>
        <w:t>存在的主要问题</w:t>
      </w:r>
      <w:r>
        <w:rPr>
          <w:rFonts w:hint="eastAsia" w:ascii="黑体" w:hAnsi="黑体" w:eastAsia="黑体"/>
          <w:color w:val="auto"/>
          <w:sz w:val="32"/>
          <w:szCs w:val="32"/>
        </w:rPr>
        <w:t>及原因</w:t>
      </w:r>
      <w:bookmarkStart w:id="0" w:name="_GoBack"/>
      <w:bookmarkEnd w:id="0"/>
      <w:r>
        <w:rPr>
          <w:rFonts w:hint="eastAsia" w:ascii="黑体" w:hAnsi="黑体" w:eastAsia="黑体"/>
          <w:color w:val="auto"/>
          <w:sz w:val="32"/>
          <w:szCs w:val="32"/>
        </w:rPr>
        <w:t>分析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68" w:firstLineChars="240"/>
        <w:textAlignment w:val="auto"/>
        <w:rPr>
          <w:rFonts w:hint="eastAsia" w:ascii="楷体_GB2312" w:hAnsi="黑体" w:eastAsia="楷体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黑体" w:eastAsia="楷体_GB2312"/>
          <w:color w:val="auto"/>
          <w:sz w:val="32"/>
          <w:szCs w:val="32"/>
        </w:rPr>
        <w:t>政策制度方面</w:t>
      </w:r>
      <w:r>
        <w:rPr>
          <w:rFonts w:hint="eastAsia" w:ascii="楷体_GB2312" w:hAnsi="黑体" w:eastAsia="楷体_GB2312"/>
          <w:color w:val="auto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68" w:firstLineChars="2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以前年度</w:t>
      </w:r>
      <w:r>
        <w:rPr>
          <w:rFonts w:hint="eastAsia" w:ascii="仿宋_GB2312" w:hAnsi="仿宋_GB2312" w:eastAsia="仿宋_GB2312" w:cs="仿宋_GB2312"/>
          <w:sz w:val="32"/>
          <w:szCs w:val="32"/>
        </w:rPr>
        <w:t>专项资金主管部门未针对专项资金制定专门的管理制度文件，专项资金使用、考核及绩效管理等工作缺乏相应制度依据。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68" w:firstLineChars="240"/>
        <w:textAlignment w:val="auto"/>
        <w:rPr>
          <w:rFonts w:ascii="楷体_GB2312" w:hAnsi="黑体" w:eastAsia="楷体_GB2312"/>
          <w:color w:val="auto"/>
          <w:sz w:val="32"/>
          <w:szCs w:val="32"/>
        </w:rPr>
      </w:pPr>
      <w:r>
        <w:rPr>
          <w:rFonts w:hint="eastAsia" w:ascii="楷体_GB2312" w:hAnsi="黑体" w:eastAsia="楷体_GB2312"/>
          <w:color w:val="auto"/>
          <w:sz w:val="32"/>
          <w:szCs w:val="32"/>
        </w:rPr>
        <w:t>（二）资金管理方面</w:t>
      </w:r>
      <w:r>
        <w:rPr>
          <w:rFonts w:hint="eastAsia" w:ascii="楷体_GB2312" w:hAnsi="黑体" w:eastAsia="楷体_GB2312"/>
          <w:color w:val="auto"/>
          <w:sz w:val="32"/>
          <w:szCs w:val="32"/>
          <w:lang w:val="en-US" w:eastAsia="zh-CN"/>
        </w:rPr>
        <w:t xml:space="preserve"> 无</w:t>
      </w:r>
      <w:r>
        <w:rPr>
          <w:rFonts w:hint="eastAsia" w:ascii="楷体_GB2312" w:hAnsi="黑体" w:eastAsia="楷体_GB2312"/>
          <w:color w:val="auto"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68" w:firstLineChars="240"/>
        <w:textAlignment w:val="auto"/>
        <w:rPr>
          <w:rFonts w:hint="eastAsia" w:ascii="楷体_GB2312" w:hAnsi="黑体" w:eastAsia="楷体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黑体" w:eastAsia="楷体_GB2312"/>
          <w:color w:val="auto"/>
          <w:sz w:val="32"/>
          <w:szCs w:val="32"/>
        </w:rPr>
        <w:t>（三）项目管理方面</w:t>
      </w:r>
      <w:r>
        <w:rPr>
          <w:rFonts w:hint="eastAsia" w:ascii="楷体_GB2312" w:hAnsi="黑体" w:eastAsia="楷体_GB2312"/>
          <w:color w:val="auto"/>
          <w:sz w:val="32"/>
          <w:szCs w:val="32"/>
          <w:lang w:val="en-US" w:eastAsia="zh-CN"/>
        </w:rPr>
        <w:t xml:space="preserve"> 无</w:t>
      </w:r>
    </w:p>
    <w:p>
      <w:pPr>
        <w:numPr>
          <w:ilvl w:val="0"/>
          <w:numId w:val="0"/>
        </w:numPr>
        <w:ind w:firstLine="640" w:firstLineChars="200"/>
        <w:rPr>
          <w:rFonts w:hint="eastAsia" w:ascii="楷体_GB2312" w:hAnsi="黑体" w:eastAsia="楷体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黑体" w:eastAsia="楷体_GB2312"/>
          <w:color w:val="auto"/>
          <w:sz w:val="32"/>
          <w:szCs w:val="32"/>
        </w:rPr>
        <w:t>（四）绩效管理方面</w:t>
      </w:r>
      <w:r>
        <w:rPr>
          <w:rFonts w:hint="eastAsia" w:ascii="楷体_GB2312" w:hAnsi="黑体" w:eastAsia="楷体_GB2312"/>
          <w:color w:val="auto"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rPr>
          <w:rFonts w:ascii="仿宋_GB2312" w:hAnsi="黑体" w:eastAsia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一是专项资金未设立绩效目标，也无相应的绩效指标。二是</w:t>
      </w:r>
      <w:r>
        <w:rPr>
          <w:rFonts w:hint="eastAsia" w:hAnsi="仿宋_GB2312" w:cs="仿宋_GB2312"/>
          <w:sz w:val="32"/>
          <w:szCs w:val="32"/>
          <w:lang w:eastAsia="zh-CN"/>
        </w:rPr>
        <w:t>因学校发展，无法将绩效自评结果加以合理应该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  <w:r>
        <w:rPr>
          <w:rFonts w:hint="eastAsia" w:ascii="楷体_GB2312" w:hAnsi="黑体" w:eastAsia="楷体_GB2312"/>
          <w:color w:val="auto"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下一步工作措施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eastAsia="仿宋_GB2312"/>
          <w:color w:val="auto"/>
          <w:lang w:eastAsia="zh-CN"/>
        </w:rPr>
      </w:pPr>
      <w:r>
        <w:rPr>
          <w:rFonts w:hint="eastAsia" w:hAnsi="黑体"/>
          <w:color w:val="auto"/>
          <w:sz w:val="32"/>
          <w:szCs w:val="32"/>
          <w:lang w:eastAsia="zh-CN"/>
        </w:rPr>
        <w:t>严格监控各项目经费使用进度，督促各项目负责人加快项目进度。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color w:val="auto"/>
        </w:rPr>
      </w:pPr>
    </w:p>
    <w:p>
      <w:pPr>
        <w:pStyle w:val="2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 xml:space="preserve">                                   凯里学院</w:t>
      </w:r>
    </w:p>
    <w:p>
      <w:pPr>
        <w:rPr>
          <w:rFonts w:hint="default"/>
          <w:lang w:val="en-US" w:eastAsia="zh-CN"/>
        </w:rPr>
      </w:pPr>
      <w:r>
        <w:rPr>
          <w:rFonts w:hint="eastAsia"/>
          <w:color w:val="auto"/>
          <w:lang w:val="en-US" w:eastAsia="zh-CN"/>
        </w:rPr>
        <w:t xml:space="preserve">                                    2023年4月25日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color w:val="auto"/>
        </w:rPr>
      </w:pPr>
    </w:p>
    <w:p>
      <w:pPr>
        <w:pStyle w:val="2"/>
        <w:ind w:left="0" w:leftChars="0" w:firstLine="0" w:firstLineChars="0"/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899AFE"/>
    <w:multiLevelType w:val="singleLevel"/>
    <w:tmpl w:val="18899AF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7E5C211"/>
    <w:multiLevelType w:val="singleLevel"/>
    <w:tmpl w:val="27E5C211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4B9BE6AE"/>
    <w:multiLevelType w:val="singleLevel"/>
    <w:tmpl w:val="4B9BE6AE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iMzBhOWY0NDVhZTg3YTFlNGY4Yjk2NWVlMDA2ZjIifQ=="/>
  </w:docVars>
  <w:rsids>
    <w:rsidRoot w:val="67DC50A3"/>
    <w:rsid w:val="01C013C7"/>
    <w:rsid w:val="028801CF"/>
    <w:rsid w:val="05FB4EA0"/>
    <w:rsid w:val="060F45F1"/>
    <w:rsid w:val="06C90C44"/>
    <w:rsid w:val="0A7D76EB"/>
    <w:rsid w:val="0B7B0B31"/>
    <w:rsid w:val="0BC77F22"/>
    <w:rsid w:val="0CAA5A9B"/>
    <w:rsid w:val="0F90195C"/>
    <w:rsid w:val="14120692"/>
    <w:rsid w:val="19DD12E4"/>
    <w:rsid w:val="21EF2AB0"/>
    <w:rsid w:val="222517C2"/>
    <w:rsid w:val="2418432A"/>
    <w:rsid w:val="283D44F8"/>
    <w:rsid w:val="29580B56"/>
    <w:rsid w:val="2A6A38A4"/>
    <w:rsid w:val="2D4A183F"/>
    <w:rsid w:val="2EE62505"/>
    <w:rsid w:val="30353D33"/>
    <w:rsid w:val="38C70290"/>
    <w:rsid w:val="3B5F25E2"/>
    <w:rsid w:val="3BF33A92"/>
    <w:rsid w:val="3DF54079"/>
    <w:rsid w:val="429361B0"/>
    <w:rsid w:val="4D1A70D0"/>
    <w:rsid w:val="4DDA5F05"/>
    <w:rsid w:val="52B408BD"/>
    <w:rsid w:val="56EA38CC"/>
    <w:rsid w:val="59737631"/>
    <w:rsid w:val="5AAC0F7C"/>
    <w:rsid w:val="5D6701B8"/>
    <w:rsid w:val="5D8E6199"/>
    <w:rsid w:val="67DC50A3"/>
    <w:rsid w:val="6D832BB5"/>
    <w:rsid w:val="6E661E29"/>
    <w:rsid w:val="71A36DE5"/>
    <w:rsid w:val="72C2329A"/>
    <w:rsid w:val="75E03C6B"/>
    <w:rsid w:val="762F50EB"/>
    <w:rsid w:val="79A254A9"/>
    <w:rsid w:val="7CA85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仿宋_GB2312" w:hAnsi="Times New Roman" w:eastAsia="仿宋_GB2312" w:cs="Times New Roman"/>
      <w:kern w:val="2"/>
      <w:sz w:val="32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next w:val="1"/>
    <w:qFormat/>
    <w:uiPriority w:val="0"/>
    <w:pPr>
      <w:widowControl w:val="0"/>
      <w:ind w:left="420" w:leftChars="200"/>
      <w:jc w:val="both"/>
    </w:pPr>
    <w:rPr>
      <w:rFonts w:ascii="仿宋_GB2312" w:hAnsi="Times New Roman" w:eastAsia="仿宋_GB2312" w:cs="Times New Roman"/>
      <w:kern w:val="2"/>
      <w:sz w:val="32"/>
      <w:szCs w:val="22"/>
      <w:lang w:val="en-US" w:eastAsia="zh-CN" w:bidi="ar-SA"/>
    </w:rPr>
  </w:style>
  <w:style w:type="paragraph" w:styleId="3">
    <w:name w:val="Body Text Indent"/>
    <w:basedOn w:val="1"/>
    <w:next w:val="4"/>
    <w:qFormat/>
    <w:uiPriority w:val="0"/>
    <w:pPr>
      <w:spacing w:after="120" w:afterLines="0"/>
      <w:ind w:left="420" w:leftChars="200"/>
    </w:p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Body Text First Indent 2"/>
    <w:basedOn w:val="3"/>
    <w:qFormat/>
    <w:uiPriority w:val="0"/>
    <w:pPr>
      <w:spacing w:after="0" w:afterLines="0" w:line="460" w:lineRule="exact"/>
      <w:ind w:left="0" w:leftChars="0" w:firstLine="420" w:firstLineChars="200"/>
    </w:pPr>
    <w:rPr>
      <w:rFonts w:ascii="Times New Roman" w:hAnsi="Times New Roman" w:cs="仿宋_GB231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2685</Words>
  <Characters>3263</Characters>
  <Lines>0</Lines>
  <Paragraphs>0</Paragraphs>
  <TotalTime>4</TotalTime>
  <ScaleCrop>false</ScaleCrop>
  <LinksUpToDate>false</LinksUpToDate>
  <CharactersWithSpaces>3346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2022-02-09T02:54:00Z</dcterms:created>
  <dc:creator>Administrator</dc:creator>
  <cp:lastModifiedBy>钞[爱心]皓[爱心]逸</cp:lastModifiedBy>
  <cp:lastPrinted>2023-04-27T05:33:00Z</cp:lastPrinted>
  <dcterms:modified xsi:type="dcterms:W3CDTF">2023-05-11T05:58:19Z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B87CD41E42A94A99960D1CA5378B634A_12</vt:lpwstr>
  </property>
</Properties>
</file>